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69" w:after="206"/>
        <w:ind w:left="2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333"/>
        <w:ind w:left="20" w:right="0" w:firstLine="0"/>
      </w:pPr>
      <w:r>
        <w:rPr>
          <w:rStyle w:val="CharStyle9"/>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160000, г. Вологда, ул. Пушкинская, 25, тел. (8172)72-99-70; факс (8172)72-46-64</w:t>
      </w:r>
    </w:p>
    <w:p>
      <w:pPr>
        <w:pStyle w:val="Style10"/>
        <w:widowControl w:val="0"/>
        <w:keepNext w:val="0"/>
        <w:keepLines w:val="0"/>
        <w:shd w:val="clear" w:color="auto" w:fill="auto"/>
        <w:bidi w:val="0"/>
        <w:jc w:val="both"/>
        <w:spacing w:before="0" w:after="0"/>
        <w:ind w:left="20" w:right="0" w:firstLine="0"/>
      </w:pPr>
      <w:r>
        <w:rPr>
          <w:lang w:val="en-US" w:eastAsia="en-US" w:bidi="en-US"/>
          <w:w w:val="100"/>
          <w:spacing w:val="0"/>
          <w:color w:val="000000"/>
          <w:position w:val="0"/>
        </w:rPr>
        <w:t xml:space="preserve">e-mail: </w:t>
      </w:r>
      <w:r>
        <w:fldChar w:fldCharType="begin"/>
      </w:r>
      <w:r>
        <w:rPr>
          <w:rStyle w:val="CharStyle12"/>
        </w:rPr>
        <w:instrText> HYPERLINK "mailto:to35@fas.gov.ru" </w:instrText>
      </w:r>
      <w:r>
        <w:fldChar w:fldCharType="separate"/>
      </w:r>
      <w:r>
        <w:rPr>
          <w:rStyle w:val="Hyperlink"/>
        </w:rPr>
        <w:t>to35@fas.gov.ru</w:t>
      </w:r>
      <w:r>
        <w:fldChar w:fldCharType="end"/>
      </w:r>
    </w:p>
    <w:p>
      <w:pPr>
        <w:pStyle w:val="Style10"/>
        <w:widowControl w:val="0"/>
        <w:keepNext w:val="0"/>
        <w:keepLines w:val="0"/>
        <w:shd w:val="clear" w:color="auto" w:fill="auto"/>
        <w:bidi w:val="0"/>
        <w:jc w:val="both"/>
        <w:spacing w:before="0" w:after="189"/>
        <w:ind w:left="20" w:right="0" w:firstLine="0"/>
      </w:pPr>
      <w:r>
        <w:fldChar w:fldCharType="begin"/>
      </w:r>
      <w:r>
        <w:rPr>
          <w:color w:val="000000"/>
        </w:rPr>
        <w:instrText> HYPERLINK "http://vologda.fas.gov.ru" </w:instrText>
      </w:r>
      <w:r>
        <w:fldChar w:fldCharType="separate"/>
      </w:r>
      <w:r>
        <w:rPr>
          <w:rStyle w:val="Hyperlink"/>
          <w:lang w:val="en-US" w:eastAsia="en-US" w:bidi="en-US"/>
          <w:w w:val="100"/>
          <w:spacing w:val="0"/>
          <w:position w:val="0"/>
        </w:rPr>
        <w:t>http://vologda.fas.gov.ru</w:t>
      </w:r>
      <w:r>
        <w:fldChar w:fldCharType="end"/>
      </w:r>
    </w:p>
    <w:p>
      <w:pPr>
        <w:pStyle w:val="Style3"/>
        <w:numPr>
          <w:ilvl w:val="0"/>
          <w:numId w:val="1"/>
        </w:numPr>
        <w:tabs>
          <w:tab w:leader="none" w:pos="1348" w:val="left"/>
        </w:tabs>
        <w:widowControl w:val="0"/>
        <w:keepNext w:val="0"/>
        <w:keepLines w:val="0"/>
        <w:shd w:val="clear" w:color="auto" w:fill="auto"/>
        <w:bidi w:val="0"/>
        <w:spacing w:before="0" w:after="7" w:line="240" w:lineRule="exact"/>
        <w:ind w:left="20" w:right="0" w:firstLine="0"/>
      </w:pPr>
      <w:r>
        <w:rPr>
          <w:lang w:val="ru-RU" w:eastAsia="ru-RU" w:bidi="ru-RU"/>
          <w:sz w:val="24"/>
          <w:szCs w:val="24"/>
          <w:w w:val="100"/>
          <w:spacing w:val="0"/>
          <w:color w:val="000000"/>
          <w:position w:val="0"/>
        </w:rPr>
        <w:t>№</w:t>
      </w:r>
    </w:p>
    <w:p>
      <w:pPr>
        <w:pStyle w:val="Style7"/>
        <w:widowControl w:val="0"/>
        <w:keepNext w:val="0"/>
        <w:keepLines w:val="0"/>
        <w:shd w:val="clear" w:color="auto" w:fill="auto"/>
        <w:bidi w:val="0"/>
        <w:jc w:val="left"/>
        <w:spacing w:before="0" w:after="0" w:line="298" w:lineRule="exact"/>
        <w:ind w:left="448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0" w:line="298" w:lineRule="exact"/>
        <w:ind w:left="4480" w:right="0" w:firstLine="0"/>
      </w:pPr>
      <w:r>
        <w:rPr>
          <w:lang w:val="ru-RU" w:eastAsia="ru-RU" w:bidi="ru-RU"/>
          <w:sz w:val="24"/>
          <w:szCs w:val="24"/>
          <w:w w:val="100"/>
          <w:spacing w:val="0"/>
          <w:color w:val="000000"/>
          <w:position w:val="0"/>
        </w:rPr>
        <w:t>ООО «ТехСтройПартнер»</w:t>
      </w:r>
    </w:p>
    <w:p>
      <w:pPr>
        <w:pStyle w:val="Style3"/>
        <w:widowControl w:val="0"/>
        <w:keepNext w:val="0"/>
        <w:keepLines w:val="0"/>
        <w:shd w:val="clear" w:color="auto" w:fill="auto"/>
        <w:bidi w:val="0"/>
        <w:jc w:val="left"/>
        <w:spacing w:before="0" w:after="240" w:line="298" w:lineRule="exact"/>
        <w:ind w:left="4480" w:right="700" w:firstLine="0"/>
      </w:pPr>
      <w:r>
        <w:rPr>
          <w:lang w:val="ru-RU" w:eastAsia="ru-RU" w:bidi="ru-RU"/>
          <w:sz w:val="24"/>
          <w:szCs w:val="24"/>
          <w:w w:val="100"/>
          <w:spacing w:val="0"/>
          <w:color w:val="000000"/>
          <w:position w:val="0"/>
        </w:rPr>
        <w:t xml:space="preserve">656016, Алтайский край, г. Барнаул, ул. Власихинская, д.49/1, оф. 141 </w:t>
      </w:r>
      <w:r>
        <w:rPr>
          <w:rStyle w:val="CharStyle14"/>
        </w:rPr>
        <w:t xml:space="preserve">Bolshunov </w:t>
      </w:r>
      <w:r>
        <w:fldChar w:fldCharType="begin"/>
      </w:r>
      <w:r>
        <w:rPr>
          <w:rStyle w:val="CharStyle14"/>
        </w:rPr>
        <w:instrText> HYPERLINK "mailto:1990@bk.ru" </w:instrText>
      </w:r>
      <w:r>
        <w:fldChar w:fldCharType="separate"/>
      </w:r>
      <w:r>
        <w:rPr>
          <w:rStyle w:val="Hyperlink"/>
          <w:lang w:val="ru-RU" w:eastAsia="ru-RU" w:bidi="ru-RU"/>
        </w:rPr>
        <w:t>1</w:t>
      </w:r>
      <w:r>
        <w:rPr>
          <w:rStyle w:val="Hyperlink"/>
        </w:rPr>
        <w:t>990@bk.ru</w:t>
      </w:r>
      <w:r>
        <w:fldChar w:fldCharType="end"/>
      </w:r>
    </w:p>
    <w:p>
      <w:pPr>
        <w:pStyle w:val="Style7"/>
        <w:widowControl w:val="0"/>
        <w:keepNext w:val="0"/>
        <w:keepLines w:val="0"/>
        <w:shd w:val="clear" w:color="auto" w:fill="auto"/>
        <w:bidi w:val="0"/>
        <w:jc w:val="left"/>
        <w:spacing w:before="0" w:after="0" w:line="298" w:lineRule="exact"/>
        <w:ind w:left="448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line="298" w:lineRule="exact"/>
        <w:ind w:left="4480" w:right="700" w:firstLine="0"/>
      </w:pPr>
      <w:r>
        <w:rPr>
          <w:lang w:val="ru-RU" w:eastAsia="ru-RU" w:bidi="ru-RU"/>
          <w:sz w:val="24"/>
          <w:szCs w:val="24"/>
          <w:w w:val="100"/>
          <w:spacing w:val="0"/>
          <w:color w:val="000000"/>
          <w:position w:val="0"/>
        </w:rPr>
        <w:t>БПОУ ВО «Тотемский политехнический колледж»</w:t>
      </w:r>
    </w:p>
    <w:p>
      <w:pPr>
        <w:pStyle w:val="Style3"/>
        <w:widowControl w:val="0"/>
        <w:keepNext w:val="0"/>
        <w:keepLines w:val="0"/>
        <w:shd w:val="clear" w:color="auto" w:fill="auto"/>
        <w:bidi w:val="0"/>
        <w:jc w:val="left"/>
        <w:spacing w:before="0" w:after="240" w:line="298" w:lineRule="exact"/>
        <w:ind w:left="4480" w:right="380" w:firstLine="0"/>
      </w:pPr>
      <w:r>
        <w:rPr>
          <w:lang w:val="ru-RU" w:eastAsia="ru-RU" w:bidi="ru-RU"/>
          <w:sz w:val="24"/>
          <w:szCs w:val="24"/>
          <w:w w:val="100"/>
          <w:spacing w:val="0"/>
          <w:color w:val="000000"/>
          <w:position w:val="0"/>
        </w:rPr>
        <w:t xml:space="preserve">161300, Вологодская область, г. Тотьма, ул. Белоусовская, д. 15 </w:t>
      </w:r>
      <w:r>
        <w:fldChar w:fldCharType="begin"/>
      </w:r>
      <w:r>
        <w:rPr>
          <w:rStyle w:val="CharStyle14"/>
        </w:rPr>
        <w:instrText> HYPERLINK "mailto:Gouspo.tpk@yandex.ru" </w:instrText>
      </w:r>
      <w:r>
        <w:fldChar w:fldCharType="separate"/>
      </w:r>
      <w:r>
        <w:rPr>
          <w:rStyle w:val="Hyperlink"/>
        </w:rPr>
        <w:t>Gouspo.tpk@yandex.ru</w:t>
      </w:r>
      <w:r>
        <w:fldChar w:fldCharType="end"/>
      </w:r>
    </w:p>
    <w:p>
      <w:pPr>
        <w:pStyle w:val="Style7"/>
        <w:widowControl w:val="0"/>
        <w:keepNext w:val="0"/>
        <w:keepLines w:val="0"/>
        <w:shd w:val="clear" w:color="auto" w:fill="auto"/>
        <w:bidi w:val="0"/>
        <w:jc w:val="left"/>
        <w:spacing w:before="0" w:after="0" w:line="298" w:lineRule="exact"/>
        <w:ind w:left="448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244" w:line="298" w:lineRule="exact"/>
        <w:ind w:left="4480" w:right="380" w:firstLine="0"/>
      </w:pPr>
      <w:r>
        <w:rPr>
          <w:lang w:val="ru-RU" w:eastAsia="ru-RU" w:bidi="ru-RU"/>
          <w:sz w:val="24"/>
          <w:szCs w:val="24"/>
          <w:w w:val="100"/>
          <w:spacing w:val="0"/>
          <w:color w:val="000000"/>
          <w:position w:val="0"/>
        </w:rPr>
        <w:t xml:space="preserve">Комитет государственного заказа ВО 160000, г. Вологда, Козленская, 8 </w:t>
      </w:r>
      <w:r>
        <w:fldChar w:fldCharType="begin"/>
      </w:r>
      <w:r>
        <w:rPr>
          <w:rStyle w:val="CharStyle14"/>
        </w:rPr>
        <w:instrText> HYPERLINK "mailto:kgz@gz.gov35.ru" </w:instrText>
      </w:r>
      <w:r>
        <w:fldChar w:fldCharType="separate"/>
      </w:r>
      <w:r>
        <w:rPr>
          <w:rStyle w:val="Hyperlink"/>
        </w:rPr>
        <w:t>kgz@gz.gov35.ru</w:t>
      </w:r>
      <w:r>
        <w:fldChar w:fldCharType="end"/>
      </w:r>
    </w:p>
    <w:p>
      <w:pPr>
        <w:pStyle w:val="Style7"/>
        <w:widowControl w:val="0"/>
        <w:keepNext w:val="0"/>
        <w:keepLines w:val="0"/>
        <w:shd w:val="clear" w:color="auto" w:fill="auto"/>
        <w:bidi w:val="0"/>
        <w:jc w:val="left"/>
        <w:spacing w:before="0" w:after="0"/>
        <w:ind w:left="448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582" w:line="293" w:lineRule="exact"/>
        <w:ind w:left="4480" w:right="380" w:firstLine="0"/>
      </w:pPr>
      <w:r>
        <w:rPr>
          <w:lang w:val="ru-RU" w:eastAsia="ru-RU" w:bidi="ru-RU"/>
          <w:sz w:val="24"/>
          <w:szCs w:val="24"/>
          <w:w w:val="100"/>
          <w:spacing w:val="0"/>
          <w:color w:val="000000"/>
          <w:position w:val="0"/>
        </w:rPr>
        <w:t xml:space="preserve">ЗАО «Сбербанк - АСТ» </w:t>
      </w:r>
      <w:r>
        <w:fldChar w:fldCharType="begin"/>
      </w:r>
      <w:r>
        <w:rPr>
          <w:rStyle w:val="CharStyle14"/>
        </w:rPr>
        <w:instrText> HYPERLINK "mailto:ko@sberbank-ast.ru" </w:instrText>
      </w:r>
      <w:r>
        <w:fldChar w:fldCharType="separate"/>
      </w:r>
      <w:r>
        <w:rPr>
          <w:rStyle w:val="Hyperlink"/>
        </w:rPr>
        <w:t>ko@sberbank-ast.ru</w:t>
      </w:r>
      <w:r>
        <w:fldChar w:fldCharType="end"/>
      </w:r>
    </w:p>
    <w:p>
      <w:pPr>
        <w:pStyle w:val="Style7"/>
        <w:widowControl w:val="0"/>
        <w:keepNext w:val="0"/>
        <w:keepLines w:val="0"/>
        <w:shd w:val="clear" w:color="auto" w:fill="auto"/>
        <w:bidi w:val="0"/>
        <w:spacing w:before="0" w:after="67" w:line="240" w:lineRule="exact"/>
        <w:ind w:left="20" w:right="0" w:firstLine="0"/>
      </w:pPr>
      <w:r>
        <w:rPr>
          <w:lang w:val="ru-RU" w:eastAsia="ru-RU" w:bidi="ru-RU"/>
          <w:sz w:val="24"/>
          <w:szCs w:val="24"/>
          <w:w w:val="100"/>
          <w:spacing w:val="0"/>
          <w:color w:val="000000"/>
          <w:position w:val="0"/>
        </w:rPr>
        <w:t>РЕШЕНИЕ № 035/06/34-417/2020</w:t>
      </w:r>
    </w:p>
    <w:p>
      <w:pPr>
        <w:pStyle w:val="Style3"/>
        <w:tabs>
          <w:tab w:leader="none" w:pos="8526" w:val="left"/>
        </w:tabs>
        <w:widowControl w:val="0"/>
        <w:keepNext w:val="0"/>
        <w:keepLines w:val="0"/>
        <w:shd w:val="clear" w:color="auto" w:fill="auto"/>
        <w:bidi w:val="0"/>
        <w:spacing w:before="0" w:after="275" w:line="240" w:lineRule="exact"/>
        <w:ind w:left="20" w:right="0" w:firstLine="720"/>
      </w:pPr>
      <w:r>
        <w:rPr>
          <w:lang w:val="ru-RU" w:eastAsia="ru-RU" w:bidi="ru-RU"/>
          <w:sz w:val="24"/>
          <w:szCs w:val="24"/>
          <w:w w:val="100"/>
          <w:spacing w:val="0"/>
          <w:color w:val="000000"/>
          <w:position w:val="0"/>
        </w:rPr>
        <w:t>10 июля 2020 г.</w:t>
        <w:tab/>
        <w:t>г. Вологда</w:t>
      </w:r>
    </w:p>
    <w:p>
      <w:pPr>
        <w:pStyle w:val="Style3"/>
        <w:widowControl w:val="0"/>
        <w:keepNext w:val="0"/>
        <w:keepLines w:val="0"/>
        <w:shd w:val="clear" w:color="auto" w:fill="auto"/>
        <w:bidi w:val="0"/>
        <w:spacing w:before="0" w:after="0" w:line="293" w:lineRule="exact"/>
        <w:ind w:left="20" w:right="20" w:firstLine="72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УФАС) в составе:</w:t>
      </w:r>
    </w:p>
    <w:p>
      <w:pPr>
        <w:pStyle w:val="Style3"/>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Ростиславова А.А. - председатель комиссии, заместитель руководителя Управления Федеральной антимонопольной службы по Вологодской области;</w:t>
      </w:r>
    </w:p>
    <w:p>
      <w:pPr>
        <w:pStyle w:val="Style3"/>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Ларичева Н.С. - член комиссии, государственный инспектор Управления Федеральной антимонопольной службы по Вологодской области,</w:t>
      </w:r>
    </w:p>
    <w:p>
      <w:pPr>
        <w:pStyle w:val="Style3"/>
        <w:widowControl w:val="0"/>
        <w:keepNext w:val="0"/>
        <w:keepLines w:val="0"/>
        <w:shd w:val="clear" w:color="auto" w:fill="auto"/>
        <w:bidi w:val="0"/>
        <w:jc w:val="left"/>
        <w:spacing w:before="0" w:after="0" w:line="302" w:lineRule="exact"/>
        <w:ind w:left="40" w:right="40" w:firstLine="680"/>
      </w:pPr>
      <w:r>
        <w:rPr>
          <w:lang w:val="ru-RU" w:eastAsia="ru-RU" w:bidi="ru-RU"/>
          <w:sz w:val="24"/>
          <w:szCs w:val="24"/>
          <w:w w:val="100"/>
          <w:spacing w:val="0"/>
          <w:color w:val="000000"/>
          <w:position w:val="0"/>
        </w:rPr>
        <w:t>Кузнецова Ю.Н. - член комиссии, специалист-эксперт Управления Федеральной антимонопольной службы по Вологодской области;</w:t>
      </w:r>
    </w:p>
    <w:p>
      <w:pPr>
        <w:pStyle w:val="Style3"/>
        <w:widowControl w:val="0"/>
        <w:keepNext w:val="0"/>
        <w:keepLines w:val="0"/>
        <w:shd w:val="clear" w:color="auto" w:fill="auto"/>
        <w:bidi w:val="0"/>
        <w:jc w:val="left"/>
        <w:spacing w:before="0" w:after="0" w:line="302" w:lineRule="exact"/>
        <w:ind w:left="40" w:right="40" w:firstLine="680"/>
      </w:pPr>
      <w:r>
        <w:rPr>
          <w:lang w:val="ru-RU" w:eastAsia="ru-RU" w:bidi="ru-RU"/>
          <w:sz w:val="24"/>
          <w:szCs w:val="24"/>
          <w:w w:val="100"/>
          <w:spacing w:val="0"/>
          <w:color w:val="000000"/>
          <w:position w:val="0"/>
        </w:rPr>
        <w:t>рассмотрев жалобу ООО «ТехСтройПартнер» (далее - Заявитель) посредством видеоконференцсвязи</w:t>
      </w:r>
    </w:p>
    <w:p>
      <w:pPr>
        <w:pStyle w:val="Style3"/>
        <w:widowControl w:val="0"/>
        <w:keepNext w:val="0"/>
        <w:keepLines w:val="0"/>
        <w:shd w:val="clear" w:color="auto" w:fill="auto"/>
        <w:bidi w:val="0"/>
        <w:spacing w:before="0" w:after="290" w:line="302" w:lineRule="exact"/>
        <w:ind w:left="40" w:right="40" w:firstLine="0"/>
      </w:pPr>
      <w:r>
        <w:fldChar w:fldCharType="begin"/>
      </w:r>
      <w:r>
        <w:rPr>
          <w:color w:val="000000"/>
        </w:rPr>
        <w:instrText> HYPERLINK "http://vcs02fas.cloud.rt.ru/semce/join/?confid=:837800&amp;confpass=7280" </w:instrText>
      </w:r>
      <w:r>
        <w:fldChar w:fldCharType="separate"/>
      </w:r>
      <w:r>
        <w:rPr>
          <w:rStyle w:val="Hyperlink"/>
          <w:lang w:val="en-US" w:eastAsia="en-US" w:bidi="en-US"/>
          <w:sz w:val="24"/>
          <w:szCs w:val="24"/>
          <w:w w:val="100"/>
          <w:spacing w:val="0"/>
          <w:position w:val="0"/>
        </w:rPr>
        <w:t>http://vcs02fas.cloud.rt.ru/semce/join/?confid=</w:t>
      </w:r>
      <w:r>
        <w:rPr>
          <w:rStyle w:val="Hyperlink"/>
          <w:lang w:val="en-US" w:eastAsia="en-US" w:bidi="en-US"/>
          <w:vertAlign w:val="superscript"/>
          <w:sz w:val="24"/>
          <w:szCs w:val="24"/>
          <w:w w:val="100"/>
          <w:spacing w:val="0"/>
          <w:position w:val="0"/>
        </w:rPr>
        <w:t>:</w:t>
      </w:r>
      <w:r>
        <w:rPr>
          <w:rStyle w:val="Hyperlink"/>
          <w:lang w:val="en-US" w:eastAsia="en-US" w:bidi="en-US"/>
          <w:sz w:val="24"/>
          <w:szCs w:val="24"/>
          <w:w w:val="100"/>
          <w:spacing w:val="0"/>
          <w:position w:val="0"/>
        </w:rPr>
        <w:t>837800&amp;confpass=7280</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на положения документации электронного аукциона «Капитальный ремонт кровельного покрытия и чердачного перекрытия и перенос системы отопления в рамках капитального ремонта (учебный корпус № 1, р. Тотьма, ул. Белоусовская, д. 15)» (извещение № 0130200002420001954), Заказчик - БПОУ ВО «Тотемский политехнический колледж» (далее - Заказчик), Уполномоченный орган - Комитет государственного заказа ВО (далее - Уполномоченный орган) в отсутствии представителей Заявителя, Заказчика, Уполномоченного органа (уведомлены надлежащим образом о месте и времени рассмотрения, от Заказчика поступило ходатайство о рассмотрении в отсутствие представителей),</w:t>
      </w:r>
    </w:p>
    <w:p>
      <w:pPr>
        <w:pStyle w:val="Style15"/>
        <w:widowControl w:val="0"/>
        <w:keepNext/>
        <w:keepLines/>
        <w:shd w:val="clear" w:color="auto" w:fill="auto"/>
        <w:bidi w:val="0"/>
        <w:jc w:val="left"/>
        <w:spacing w:before="0" w:after="256" w:line="240" w:lineRule="exact"/>
        <w:ind w:left="4200" w:right="0" w:firstLine="0"/>
      </w:pPr>
      <w:bookmarkStart w:id="0" w:name="bookmark0"/>
      <w:r>
        <w:rPr>
          <w:lang w:val="ru-RU" w:eastAsia="ru-RU" w:bidi="ru-RU"/>
          <w:sz w:val="24"/>
          <w:szCs w:val="24"/>
          <w:w w:val="100"/>
          <w:spacing w:val="0"/>
          <w:color w:val="000000"/>
          <w:position w:val="0"/>
        </w:rPr>
        <w:t>УСТАНОВИЛА:</w:t>
      </w:r>
      <w:bookmarkEnd w:id="0"/>
    </w:p>
    <w:p>
      <w:pPr>
        <w:pStyle w:val="Style3"/>
        <w:numPr>
          <w:ilvl w:val="0"/>
          <w:numId w:val="3"/>
        </w:numPr>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 xml:space="preserve"> в У ФАС по Вологодской области поступила жалоба от ООО «ТехСтройПартнер» на капитальный ремонт кровельного покрытия и чердачного перекрытия и перенос системы отопления в рамках капитального ремонта (учебный корпус № 1, г.Тотьма, ул. Белоусовская, д.15) (извещение № 0130200002420001954), (далее - аукцион, закупка),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3"/>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В своей жалобе Заявитель указывает на то, что аукционная документация составлена с нарушением Закона о контрактной системе. По мнению Заявителя Заказчиком нарушены ч. 4,,ч. 8 ст. 34 Закона о контрактной системе, а именно в проекте контракта не установлены штрафы в случае неисполнения Исполнителем обязательств, не имеющих стоимостных выражений.</w:t>
      </w:r>
    </w:p>
    <w:p>
      <w:pPr>
        <w:pStyle w:val="Style3"/>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Заказчиком представлены возражения на жалобу, в которых он указал, что документация электронного аукциона составлена верно, с соблюдением всех требований действующего законодательства.</w:t>
      </w:r>
    </w:p>
    <w:p>
      <w:pPr>
        <w:pStyle w:val="Style3"/>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Комиссия У ФАС, рассмотрев представленные материалы, пришла к следующему выводу.</w:t>
      </w:r>
    </w:p>
    <w:p>
      <w:pPr>
        <w:pStyle w:val="Style3"/>
        <w:numPr>
          <w:ilvl w:val="0"/>
          <w:numId w:val="5"/>
        </w:numPr>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 xml:space="preserve"> в Единой ийформационной системе в сфере закупок (далее - ЕИС) опубликовано извещение об аукционе № 0130200002420001954.</w:t>
      </w:r>
    </w:p>
    <w:p>
      <w:pPr>
        <w:pStyle w:val="Style3"/>
        <w:widowControl w:val="0"/>
        <w:keepNext w:val="0"/>
        <w:keepLines w:val="0"/>
        <w:shd w:val="clear" w:color="auto" w:fill="auto"/>
        <w:bidi w:val="0"/>
        <w:spacing w:before="0" w:after="0" w:line="298" w:lineRule="exact"/>
        <w:ind w:left="40" w:right="0" w:firstLine="440"/>
      </w:pPr>
      <w:r>
        <w:rPr>
          <w:lang w:val="ru-RU" w:eastAsia="ru-RU" w:bidi="ru-RU"/>
          <w:sz w:val="24"/>
          <w:szCs w:val="24"/>
          <w:w w:val="100"/>
          <w:spacing w:val="0"/>
          <w:color w:val="000000"/>
          <w:position w:val="0"/>
        </w:rPr>
        <w:t>Начальная (максимальная) цена контракта: 11 984 060,00 руб.</w:t>
      </w:r>
    </w:p>
    <w:p>
      <w:pPr>
        <w:pStyle w:val="Style3"/>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Согласно ч. 4 ст.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spacing w:before="0" w:after="0" w:line="298" w:lineRule="exact"/>
        <w:ind w:left="40" w:right="40" w:firstLine="440"/>
      </w:pPr>
      <w:r>
        <w:rPr>
          <w:lang w:val="ru-RU" w:eastAsia="ru-RU" w:bidi="ru-RU"/>
          <w:sz w:val="24"/>
          <w:szCs w:val="24"/>
          <w:w w:val="100"/>
          <w:spacing w:val="0"/>
          <w:color w:val="000000"/>
          <w:position w:val="0"/>
        </w:rPr>
        <w:t>В соответствии с ч. 5 ст.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3"/>
        <w:widowControl w:val="0"/>
        <w:keepNext w:val="0"/>
        <w:keepLines w:val="0"/>
        <w:shd w:val="clear" w:color="auto" w:fill="auto"/>
        <w:bidi w:val="0"/>
        <w:spacing w:before="0" w:after="0" w:line="298" w:lineRule="exact"/>
        <w:ind w:left="20" w:right="20" w:firstLine="420"/>
      </w:pPr>
      <w:r>
        <w:rPr>
          <w:lang w:val="ru-RU" w:eastAsia="ru-RU" w:bidi="ru-RU"/>
          <w:sz w:val="24"/>
          <w:szCs w:val="24"/>
          <w:w w:val="100"/>
          <w:spacing w:val="0"/>
          <w:color w:val="000000"/>
          <w:position w:val="0"/>
        </w:rPr>
        <w:t>Согласно п. 6 Постановления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Style3"/>
        <w:widowControl w:val="0"/>
        <w:keepNext w:val="0"/>
        <w:keepLines w:val="0"/>
        <w:shd w:val="clear" w:color="auto" w:fill="auto"/>
        <w:bidi w:val="0"/>
        <w:spacing w:before="0" w:after="0" w:line="298" w:lineRule="exact"/>
        <w:ind w:left="20" w:right="0" w:firstLine="420"/>
      </w:pPr>
      <w:r>
        <w:rPr>
          <w:lang w:val="ru-RU" w:eastAsia="ru-RU" w:bidi="ru-RU"/>
          <w:sz w:val="24"/>
          <w:szCs w:val="24"/>
          <w:w w:val="100"/>
          <w:spacing w:val="0"/>
          <w:color w:val="000000"/>
          <w:position w:val="0"/>
        </w:rPr>
        <w:t>а) 1000 рублей, если цена контракта не превышает 3 млн. рублей;</w:t>
      </w:r>
    </w:p>
    <w:p>
      <w:pPr>
        <w:pStyle w:val="Style3"/>
        <w:widowControl w:val="0"/>
        <w:keepNext w:val="0"/>
        <w:keepLines w:val="0"/>
        <w:shd w:val="clear" w:color="auto" w:fill="auto"/>
        <w:bidi w:val="0"/>
        <w:spacing w:before="0" w:after="0" w:line="298" w:lineRule="exact"/>
        <w:ind w:left="20" w:right="20" w:firstLine="42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3"/>
        <w:widowControl w:val="0"/>
        <w:keepNext w:val="0"/>
        <w:keepLines w:val="0"/>
        <w:shd w:val="clear" w:color="auto" w:fill="auto"/>
        <w:bidi w:val="0"/>
        <w:spacing w:before="0" w:after="0" w:line="298" w:lineRule="exact"/>
        <w:ind w:left="20" w:right="20" w:firstLine="420"/>
      </w:pPr>
      <w:r>
        <w:rPr>
          <w:lang w:val="ru-RU" w:eastAsia="ru-RU" w:bidi="ru-RU"/>
          <w:sz w:val="24"/>
          <w:szCs w:val="24"/>
          <w:w w:val="100"/>
          <w:spacing w:val="0"/>
          <w:color w:val="000000"/>
          <w:position w:val="0"/>
        </w:rPr>
        <w:t>в) 10000 рублей, если цена контракта составляет от 50 млн. рублей до 100 млн. рублей (включительно);</w:t>
      </w:r>
    </w:p>
    <w:p>
      <w:pPr>
        <w:pStyle w:val="Style3"/>
        <w:widowControl w:val="0"/>
        <w:keepNext w:val="0"/>
        <w:keepLines w:val="0"/>
        <w:shd w:val="clear" w:color="auto" w:fill="auto"/>
        <w:bidi w:val="0"/>
        <w:spacing w:before="0" w:after="0" w:line="298" w:lineRule="exact"/>
        <w:ind w:left="20" w:right="0" w:firstLine="420"/>
      </w:pPr>
      <w:r>
        <w:rPr>
          <w:lang w:val="ru-RU" w:eastAsia="ru-RU" w:bidi="ru-RU"/>
          <w:sz w:val="24"/>
          <w:szCs w:val="24"/>
          <w:w w:val="100"/>
          <w:spacing w:val="0"/>
          <w:color w:val="000000"/>
          <w:position w:val="0"/>
        </w:rPr>
        <w:t>г) 100000 рублей, если цена контракта превышает 100 млн. рублей.</w:t>
      </w:r>
    </w:p>
    <w:p>
      <w:pPr>
        <w:pStyle w:val="Style3"/>
        <w:widowControl w:val="0"/>
        <w:keepNext w:val="0"/>
        <w:keepLines w:val="0"/>
        <w:shd w:val="clear" w:color="auto" w:fill="auto"/>
        <w:bidi w:val="0"/>
        <w:spacing w:before="0" w:after="0" w:line="298" w:lineRule="exact"/>
        <w:ind w:left="20" w:right="20" w:firstLine="420"/>
      </w:pPr>
      <w:r>
        <w:rPr>
          <w:lang w:val="ru-RU" w:eastAsia="ru-RU" w:bidi="ru-RU"/>
          <w:sz w:val="24"/>
          <w:szCs w:val="24"/>
          <w:w w:val="100"/>
          <w:spacing w:val="0"/>
          <w:color w:val="000000"/>
          <w:position w:val="0"/>
        </w:rPr>
        <w:t>В соответствии с ч.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3"/>
        <w:widowControl w:val="0"/>
        <w:keepNext w:val="0"/>
        <w:keepLines w:val="0"/>
        <w:shd w:val="clear" w:color="auto" w:fill="auto"/>
        <w:bidi w:val="0"/>
        <w:spacing w:before="0" w:after="0" w:line="298" w:lineRule="exact"/>
        <w:ind w:left="20" w:right="20" w:firstLine="420"/>
      </w:pPr>
      <w:r>
        <w:rPr>
          <w:lang w:val="ru-RU" w:eastAsia="ru-RU" w:bidi="ru-RU"/>
          <w:sz w:val="24"/>
          <w:szCs w:val="24"/>
          <w:w w:val="100"/>
          <w:spacing w:val="0"/>
          <w:color w:val="000000"/>
          <w:position w:val="0"/>
        </w:rPr>
        <w:t>Комиссией Вологодского УФАС установлено, что п. 9.8 Проекта контракта документации об аукционе установлены требования об ответственности в случае неисполнения Исполнителем обязательств, не имеющих стоимостных выражений.</w:t>
      </w:r>
    </w:p>
    <w:p>
      <w:pPr>
        <w:pStyle w:val="Style3"/>
        <w:widowControl w:val="0"/>
        <w:keepNext w:val="0"/>
        <w:keepLines w:val="0"/>
        <w:shd w:val="clear" w:color="auto" w:fill="auto"/>
        <w:bidi w:val="0"/>
        <w:spacing w:before="0" w:after="0" w:line="298" w:lineRule="exact"/>
        <w:ind w:left="20" w:right="0" w:firstLine="420"/>
      </w:pPr>
      <w:r>
        <w:rPr>
          <w:lang w:val="ru-RU" w:eastAsia="ru-RU" w:bidi="ru-RU"/>
          <w:sz w:val="24"/>
          <w:szCs w:val="24"/>
          <w:w w:val="100"/>
          <w:spacing w:val="0"/>
          <w:color w:val="000000"/>
          <w:position w:val="0"/>
        </w:rPr>
        <w:t>Данный довод признан необоснованным.</w:t>
      </w:r>
    </w:p>
    <w:p>
      <w:pPr>
        <w:pStyle w:val="Style3"/>
        <w:widowControl w:val="0"/>
        <w:keepNext w:val="0"/>
        <w:keepLines w:val="0"/>
        <w:shd w:val="clear" w:color="auto" w:fill="auto"/>
        <w:bidi w:val="0"/>
        <w:spacing w:before="0" w:after="0" w:line="298" w:lineRule="exact"/>
        <w:ind w:left="20" w:right="20" w:firstLine="420"/>
      </w:pPr>
      <w:r>
        <w:rPr>
          <w:lang w:val="ru-RU" w:eastAsia="ru-RU" w:bidi="ru-RU"/>
          <w:sz w:val="24"/>
          <w:szCs w:val="24"/>
          <w:w w:val="100"/>
          <w:spacing w:val="0"/>
          <w:color w:val="000000"/>
          <w:position w:val="0"/>
        </w:rPr>
        <w:t>В соответствии с п. 1 ч. 15 ст. 99 Закона о контрактной системе Комиссия УФАС провела внеплановую проверку, по результатам которой нарушений при проведении электронного аукциона не установлено.</w:t>
      </w:r>
    </w:p>
    <w:p>
      <w:pPr>
        <w:pStyle w:val="Style3"/>
        <w:widowControl w:val="0"/>
        <w:keepNext w:val="0"/>
        <w:keepLines w:val="0"/>
        <w:shd w:val="clear" w:color="auto" w:fill="auto"/>
        <w:bidi w:val="0"/>
        <w:spacing w:before="0" w:after="346" w:line="298" w:lineRule="exact"/>
        <w:ind w:left="20" w:right="20" w:firstLine="420"/>
      </w:pPr>
      <w:r>
        <w:rPr>
          <w:lang w:val="ru-RU" w:eastAsia="ru-RU" w:bidi="ru-RU"/>
          <w:sz w:val="24"/>
          <w:szCs w:val="24"/>
          <w:w w:val="100"/>
          <w:spacing w:val="0"/>
          <w:color w:val="000000"/>
          <w:position w:val="0"/>
        </w:rPr>
        <w:t>На основании вышеизложенного, Комиссия УФАС, руководствуясь ст. 99, ст. 106 Закона о контрактной системе, Административным регламентом,</w:t>
      </w:r>
    </w:p>
    <w:p>
      <w:pPr>
        <w:pStyle w:val="Style7"/>
        <w:widowControl w:val="0"/>
        <w:keepNext w:val="0"/>
        <w:keepLines w:val="0"/>
        <w:shd w:val="clear" w:color="auto" w:fill="auto"/>
        <w:bidi w:val="0"/>
        <w:jc w:val="left"/>
        <w:spacing w:before="0" w:after="0" w:line="240" w:lineRule="exact"/>
        <w:ind w:left="4420" w:right="0" w:firstLine="0"/>
      </w:pPr>
      <w:r>
        <w:rPr>
          <w:lang w:val="ru-RU" w:eastAsia="ru-RU" w:bidi="ru-RU"/>
          <w:sz w:val="24"/>
          <w:szCs w:val="24"/>
          <w:w w:val="100"/>
          <w:spacing w:val="0"/>
          <w:color w:val="000000"/>
          <w:position w:val="0"/>
        </w:rPr>
        <w:t>РЕШИЛА:</w:t>
      </w:r>
      <w:r>
        <w:br w:type="page"/>
      </w:r>
    </w:p>
    <w:p>
      <w:pPr>
        <w:pStyle w:val="Style3"/>
        <w:numPr>
          <w:ilvl w:val="0"/>
          <w:numId w:val="7"/>
        </w:numPr>
        <w:widowControl w:val="0"/>
        <w:keepNext w:val="0"/>
        <w:keepLines w:val="0"/>
        <w:shd w:val="clear" w:color="auto" w:fill="auto"/>
        <w:bidi w:val="0"/>
        <w:spacing w:before="0" w:after="0" w:line="302" w:lineRule="exact"/>
        <w:ind w:left="0" w:right="0" w:firstLine="440"/>
      </w:pPr>
      <w:r>
        <w:rPr>
          <w:lang w:val="ru-RU" w:eastAsia="ru-RU" w:bidi="ru-RU"/>
          <w:sz w:val="24"/>
          <w:szCs w:val="24"/>
          <w:w w:val="100"/>
          <w:spacing w:val="0"/>
          <w:color w:val="000000"/>
          <w:position w:val="0"/>
        </w:rPr>
        <w:t xml:space="preserve"> Признать жалобу ООО «ТехСтройПартнер» необоснованной.</w:t>
      </w:r>
    </w:p>
    <w:p>
      <w:pPr>
        <w:pStyle w:val="Style3"/>
        <w:numPr>
          <w:ilvl w:val="0"/>
          <w:numId w:val="7"/>
        </w:numPr>
        <w:widowControl w:val="0"/>
        <w:keepNext w:val="0"/>
        <w:keepLines w:val="0"/>
        <w:shd w:val="clear" w:color="auto" w:fill="auto"/>
        <w:bidi w:val="0"/>
        <w:spacing w:before="0" w:after="215" w:line="302" w:lineRule="exact"/>
        <w:ind w:left="0" w:right="240" w:firstLine="440"/>
      </w:pPr>
      <w:r>
        <w:rPr>
          <w:lang w:val="ru-RU" w:eastAsia="ru-RU" w:bidi="ru-RU"/>
          <w:sz w:val="24"/>
          <w:szCs w:val="24"/>
          <w:w w:val="100"/>
          <w:spacing w:val="0"/>
          <w:color w:val="000000"/>
          <w:position w:val="0"/>
        </w:rPr>
        <w:t xml:space="preserve"> 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5"/>
        <w:widowControl w:val="0"/>
        <w:keepNext w:val="0"/>
        <w:keepLines w:val="0"/>
        <w:shd w:val="clear" w:color="auto" w:fill="auto"/>
        <w:bidi w:val="0"/>
        <w:jc w:val="left"/>
        <w:spacing w:before="0" w:after="0" w:line="259" w:lineRule="exact"/>
        <w:ind w:left="0" w:right="440" w:firstLine="44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
        <w:framePr w:h="222" w:wrap="around" w:vAnchor="text" w:hAnchor="margin" w:x="7199" w:y="1"/>
        <w:widowControl w:val="0"/>
        <w:keepNext w:val="0"/>
        <w:keepLines w:val="0"/>
        <w:shd w:val="clear" w:color="auto" w:fill="auto"/>
        <w:bidi w:val="0"/>
        <w:jc w:val="left"/>
        <w:spacing w:before="0" w:after="0" w:line="220" w:lineRule="exact"/>
        <w:ind w:left="100" w:right="0" w:firstLine="0"/>
      </w:pPr>
      <w:r>
        <w:rPr>
          <w:rStyle w:val="CharStyle4"/>
          <w:spacing w:val="0"/>
        </w:rPr>
        <w:t>А.А. Ростиславова</w:t>
      </w:r>
    </w:p>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1249" w:left="1024" w:right="990" w:bottom="1019"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vAnchor="text" w:hAnchor="margin" w:x="-7281" w:y="8"/>
        <w:widowControl w:val="0"/>
        <w:keepNext w:val="0"/>
        <w:keepLines w:val="0"/>
        <w:shd w:val="clear" w:color="auto" w:fill="auto"/>
        <w:bidi w:val="0"/>
        <w:jc w:val="left"/>
        <w:spacing w:before="0" w:after="0" w:line="220" w:lineRule="exact"/>
        <w:ind w:left="0" w:right="0" w:firstLine="0"/>
      </w:pPr>
      <w:r>
        <w:rPr>
          <w:rStyle w:val="CharStyle4"/>
          <w:spacing w:val="0"/>
        </w:rPr>
        <w:t>Члены комиссии:</w:t>
      </w:r>
    </w:p>
    <w:p>
      <w:pPr>
        <w:pStyle w:val="Style3"/>
        <w:widowControl w:val="0"/>
        <w:keepNext w:val="0"/>
        <w:keepLines w:val="0"/>
        <w:shd w:val="clear" w:color="auto" w:fill="auto"/>
        <w:bidi w:val="0"/>
        <w:jc w:val="left"/>
        <w:spacing w:before="0" w:after="298" w:line="240" w:lineRule="exact"/>
        <w:ind w:left="0" w:right="0" w:firstLine="0"/>
      </w:pPr>
      <w:r>
        <w:rPr>
          <w:lang w:val="ru-RU" w:eastAsia="ru-RU" w:bidi="ru-RU"/>
          <w:sz w:val="24"/>
          <w:szCs w:val="24"/>
          <w:w w:val="100"/>
          <w:spacing w:val="0"/>
          <w:color w:val="000000"/>
          <w:position w:val="0"/>
        </w:rPr>
        <w:t>Н.С. Ларичева</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Ю.Н. Кузнецова</w:t>
      </w:r>
    </w:p>
    <w:sectPr>
      <w:type w:val="continuous"/>
      <w:pgSz w:w="11906" w:h="16838"/>
      <w:pgMar w:top="6338" w:left="8319" w:right="1426" w:bottom="64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0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25.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9">
    <w:name w:val="Основной текст (3) + 10 pt"/>
    <w:basedOn w:val="CharStyle8"/>
    <w:rPr>
      <w:lang w:val="ru-RU" w:eastAsia="ru-RU" w:bidi="ru-RU"/>
      <w:sz w:val="20"/>
      <w:szCs w:val="20"/>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4)"/>
    <w:basedOn w:val="CharStyle11"/>
    <w:rPr>
      <w:lang w:val="en-US" w:eastAsia="en-US" w:bidi="en-US"/>
      <w:u w:val="single"/>
      <w:w w:val="100"/>
      <w:spacing w:val="0"/>
      <w:color w:val="000000"/>
      <w:position w:val="0"/>
    </w:rPr>
  </w:style>
  <w:style w:type="character" w:customStyle="1" w:styleId="CharStyle13">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sz w:val="24"/>
      <w:szCs w:val="24"/>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rFonts w:ascii="Times New Roman" w:eastAsia="Times New Roman" w:hAnsi="Times New Roman" w:cs="Times New Roman"/>
    </w:rPr>
  </w:style>
  <w:style w:type="paragraph" w:customStyle="1" w:styleId="Style3">
    <w:name w:val="Основной текст"/>
    <w:basedOn w:val="Normal"/>
    <w:link w:val="CharStyle13"/>
    <w:pPr>
      <w:widowControl w:val="0"/>
      <w:shd w:val="clear" w:color="auto" w:fill="FFFFFF"/>
      <w:jc w:val="both"/>
      <w:spacing w:before="120" w:after="12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20" w:after="240"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240" w:after="360" w:line="293" w:lineRule="exact"/>
    </w:pPr>
    <w:rPr>
      <w:b/>
      <w:bCs/>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36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24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