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5684" w:h="526" w:vSpace="61" w:wrap="around" w:vAnchor="text" w:hAnchor="margin" w:x="2257" w:y="3968"/>
        <w:tabs>
          <w:tab w:leader="none" w:pos="1494" w:val="left"/>
          <w:tab w:leader="none" w:pos="3189" w:val="left"/>
        </w:tabs>
        <w:widowControl w:val="0"/>
        <w:keepNext w:val="0"/>
        <w:keepLines w:val="0"/>
        <w:shd w:val="clear" w:color="auto" w:fill="auto"/>
        <w:bidi w:val="0"/>
        <w:jc w:val="both"/>
        <w:spacing w:before="0" w:after="0" w:line="137" w:lineRule="exact"/>
        <w:ind w:left="680" w:right="0" w:firstLine="0"/>
      </w:pPr>
      <w:r>
        <w:rPr>
          <w:rStyle w:val="CharStyle5"/>
          <w:spacing w:val="0"/>
        </w:rPr>
        <w:t>,</w:t>
        <w:tab/>
        <w:t>. гм</w:t>
        <w:tab/>
      </w:r>
      <w:r>
        <w:rPr>
          <w:rStyle w:val="CharStyle4"/>
          <w:spacing w:val="0"/>
        </w:rPr>
        <w:t>г. Выборг, 188800</w:t>
      </w:r>
    </w:p>
    <w:p>
      <w:pPr>
        <w:pStyle w:val="Style6"/>
        <w:framePr w:w="5684" w:h="526" w:vSpace="61" w:wrap="around" w:vAnchor="text" w:hAnchor="margin" w:x="2257" w:y="3968"/>
        <w:tabs>
          <w:tab w:leader="none" w:pos="4388" w:val="left"/>
        </w:tabs>
        <w:widowControl w:val="0"/>
        <w:keepNext w:val="0"/>
        <w:keepLines w:val="0"/>
        <w:shd w:val="clear" w:color="auto" w:fill="auto"/>
        <w:bidi w:val="0"/>
        <w:spacing w:before="0" w:after="0"/>
        <w:ind w:left="100" w:right="0" w:firstLine="0"/>
      </w:pPr>
      <w:r>
        <w:rPr>
          <w:rStyle w:val="CharStyle8"/>
          <w:spacing w:val="0"/>
        </w:rPr>
        <w:t>jsfo '0\Q\o&amp;\\c&gt;5-US’i\2e£©P</w:t>
      </w:r>
      <w:r>
        <w:rPr>
          <w:rStyle w:val="CharStyle8"/>
          <w:vertAlign w:val="superscript"/>
          <w:spacing w:val="0"/>
        </w:rPr>
        <w:t>?</w:t>
      </w:r>
      <w:r>
        <w:rPr>
          <w:rStyle w:val="CharStyle8"/>
          <w:spacing w:val="0"/>
        </w:rPr>
        <w:t xml:space="preserve">' </w:t>
      </w:r>
      <w:r>
        <w:rPr>
          <w:rStyle w:val="CharStyle8"/>
          <w:lang w:val="ru-RU" w:eastAsia="ru-RU" w:bidi="ru-RU"/>
          <w:spacing w:val="0"/>
        </w:rPr>
        <w:t xml:space="preserve">^ </w:t>
      </w:r>
      <w:r>
        <w:rPr>
          <w:rStyle w:val="CharStyle9"/>
          <w:spacing w:val="0"/>
        </w:rPr>
        <w:t>^</w:t>
        <w:tab/>
        <w:t>^</w:t>
      </w:r>
    </w:p>
    <w:p>
      <w:pPr>
        <w:pStyle w:val="Style3"/>
        <w:framePr w:w="5684" w:h="526" w:vSpace="61" w:wrap="around" w:vAnchor="text" w:hAnchor="margin" w:x="2257" w:y="3968"/>
        <w:tabs>
          <w:tab w:leader="hyphen" w:pos="5583" w:val="right"/>
        </w:tabs>
        <w:widowControl w:val="0"/>
        <w:keepNext w:val="0"/>
        <w:keepLines w:val="0"/>
        <w:shd w:val="clear" w:color="auto" w:fill="auto"/>
        <w:bidi w:val="0"/>
        <w:jc w:val="both"/>
        <w:spacing w:before="0" w:after="0" w:line="137" w:lineRule="exact"/>
        <w:ind w:left="320" w:right="0" w:firstLine="0"/>
      </w:pPr>
      <w:r>
        <w:rPr>
          <w:rStyle w:val="CharStyle5"/>
          <w:spacing w:val="0"/>
        </w:rPr>
        <w:tab/>
        <w:t xml:space="preserve"> </w:t>
      </w:r>
      <w:r>
        <w:fldChar w:fldCharType="begin"/>
      </w:r>
      <w:r>
        <w:rPr>
          <w:rStyle w:val="CharStyle4"/>
        </w:rPr>
        <w:instrText> HYPERLINK "mailto:roodvyborg@yandex.ru" </w:instrText>
      </w:r>
      <w:r>
        <w:fldChar w:fldCharType="separate"/>
      </w:r>
      <w:r>
        <w:rPr>
          <w:rStyle w:val="Hyperlink"/>
          <w:lang w:val="en-US" w:eastAsia="en-US" w:bidi="en-US"/>
          <w:spacing w:val="0"/>
        </w:rPr>
        <w:t>roodvyborg@yandex.ru</w:t>
      </w:r>
      <w:r>
        <w:fldChar w:fldCharType="end"/>
      </w:r>
    </w:p>
    <w:p>
      <w:pPr>
        <w:widowControl w:val="0"/>
        <w:rPr>
          <w:sz w:val="2"/>
          <w:szCs w:val="2"/>
        </w:rPr>
      </w:pPr>
    </w:p>
    <w:p>
      <w:pPr>
        <w:pStyle w:val="Style10"/>
        <w:widowControl w:val="0"/>
        <w:keepNext w:val="0"/>
        <w:keepLines w:val="0"/>
        <w:shd w:val="clear" w:color="auto" w:fill="auto"/>
        <w:bidi w:val="0"/>
        <w:spacing w:before="0" w:after="0"/>
        <w:ind w:left="0" w:right="0" w:firstLine="0"/>
      </w:pPr>
      <w:r>
        <w:rPr>
          <w:rStyle w:val="CharStyle12"/>
          <w:b w:val="0"/>
          <w:bCs w:val="0"/>
        </w:rPr>
        <w:t xml:space="preserve">УПРАВЛЕНИЕ </w:t>
      </w:r>
      <w:r>
        <w:rPr>
          <w:rStyle w:val="CharStyle13"/>
          <w:b/>
          <w:bCs/>
        </w:rPr>
        <w:t>Федеральной антимонопольной службы по Республике Карелия</w:t>
      </w:r>
    </w:p>
    <w:p>
      <w:pPr>
        <w:pStyle w:val="Style14"/>
        <w:widowControl w:val="0"/>
        <w:keepNext w:val="0"/>
        <w:keepLines w:val="0"/>
        <w:shd w:val="clear" w:color="auto" w:fill="auto"/>
        <w:bidi w:val="0"/>
        <w:spacing w:before="0" w:after="0"/>
        <w:ind w:left="0" w:right="0" w:firstLine="0"/>
      </w:pPr>
      <w:r>
        <w:rPr>
          <w:rStyle w:val="CharStyle16"/>
        </w:rPr>
        <w:t>наб. Варклуса, 1 а, г. Петрозаводск,</w:t>
      </w:r>
    </w:p>
    <w:p>
      <w:pPr>
        <w:pStyle w:val="Style14"/>
        <w:widowControl w:val="0"/>
        <w:keepNext w:val="0"/>
        <w:keepLines w:val="0"/>
        <w:shd w:val="clear" w:color="auto" w:fill="auto"/>
        <w:bidi w:val="0"/>
        <w:jc w:val="left"/>
        <w:spacing w:before="0" w:after="6"/>
        <w:ind w:left="580" w:right="0" w:firstLine="680"/>
      </w:pPr>
      <w:r>
        <w:rPr>
          <w:rStyle w:val="CharStyle16"/>
        </w:rPr>
        <w:t xml:space="preserve">Республика Карелии, 185031 почтовый адрес: а'я 14, г. Петрозаводск, 185028 тел/факс (8142)78-44-30 </w:t>
      </w:r>
      <w:r>
        <w:rPr>
          <w:rStyle w:val="CharStyle16"/>
          <w:lang w:val="en-US" w:eastAsia="en-US" w:bidi="en-US"/>
        </w:rPr>
        <w:t>e-mail: tolO'gfas,gov.ru</w:t>
      </w:r>
    </w:p>
    <w:p>
      <w:pPr>
        <w:pStyle w:val="Style17"/>
        <w:widowControl w:val="0"/>
        <w:keepNext/>
        <w:keepLines/>
        <w:shd w:val="clear" w:color="auto" w:fill="auto"/>
        <w:bidi w:val="0"/>
        <w:spacing w:before="0" w:after="0" w:line="280" w:lineRule="exact"/>
        <w:ind w:left="0" w:right="0" w:firstLine="0"/>
      </w:pPr>
      <w:bookmarkStart w:id="0" w:name="bookmark0"/>
      <w:r>
        <w:rPr>
          <w:rStyle w:val="CharStyle19"/>
          <w:b/>
          <w:bCs/>
        </w:rPr>
        <w:t xml:space="preserve">1 </w:t>
      </w:r>
      <w:r>
        <w:rPr>
          <w:rStyle w:val="CharStyle19"/>
          <w:lang w:val="en-US" w:eastAsia="en-US" w:bidi="en-US"/>
          <w:b/>
          <w:bCs/>
        </w:rPr>
        <w:t xml:space="preserve">I. </w:t>
      </w:r>
      <w:r>
        <w:rPr>
          <w:rStyle w:val="CharStyle19"/>
          <w:b/>
          <w:bCs/>
        </w:rPr>
        <w:t>07. 2020</w:t>
      </w:r>
      <w:bookmarkEnd w:id="0"/>
    </w:p>
    <w:p>
      <w:pPr>
        <w:pStyle w:val="Style20"/>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Дело № 010/06/105-453/2020 04-18/168-2020</w:t>
      </w:r>
    </w:p>
    <w:p>
      <w:pPr>
        <w:pStyle w:val="Style20"/>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ГБУЗ «РОД»</w:t>
      </w:r>
    </w:p>
    <w:p>
      <w:pPr>
        <w:pStyle w:val="Style3"/>
        <w:widowControl w:val="0"/>
        <w:keepNext w:val="0"/>
        <w:keepLines w:val="0"/>
        <w:shd w:val="clear" w:color="auto" w:fill="auto"/>
        <w:bidi w:val="0"/>
        <w:jc w:val="left"/>
        <w:spacing w:before="0" w:after="263"/>
        <w:ind w:left="20" w:right="0" w:firstLine="0"/>
      </w:pPr>
      <w:r>
        <w:rPr>
          <w:lang w:val="ru-RU" w:eastAsia="ru-RU" w:bidi="ru-RU"/>
          <w:sz w:val="24"/>
          <w:szCs w:val="24"/>
          <w:w w:val="100"/>
          <w:spacing w:val="0"/>
          <w:color w:val="000000"/>
          <w:position w:val="0"/>
        </w:rPr>
        <w:t xml:space="preserve">Лососинское шоссе, д. 5, г. Петрозаводск, 185002 </w:t>
      </w:r>
      <w:r>
        <w:fldChar w:fldCharType="begin"/>
      </w:r>
      <w:r>
        <w:rPr>
          <w:color w:val="000000"/>
        </w:rPr>
        <w:instrText> HYPERLINK "mailto:onkozakup@mail.ru" </w:instrText>
      </w:r>
      <w:r>
        <w:fldChar w:fldCharType="separate"/>
      </w:r>
      <w:r>
        <w:rPr>
          <w:rStyle w:val="Hyperlink"/>
          <w:lang w:val="en-US" w:eastAsia="en-US" w:bidi="en-US"/>
          <w:sz w:val="24"/>
          <w:szCs w:val="24"/>
          <w:w w:val="100"/>
          <w:spacing w:val="0"/>
          <w:position w:val="0"/>
        </w:rPr>
        <w:t>onkozakup@mail.ru</w:t>
      </w:r>
      <w:r>
        <w:fldChar w:fldCharType="end"/>
      </w:r>
    </w:p>
    <w:p>
      <w:pPr>
        <w:pStyle w:val="Style10"/>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ООО «Комбинат социального питания»</w:t>
      </w:r>
    </w:p>
    <w:p>
      <w:pPr>
        <w:pStyle w:val="Style23"/>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570" w:left="661" w:right="2472" w:bottom="530" w:header="0" w:footer="3" w:gutter="0"/>
          <w:rtlGutter w:val="0"/>
          <w:cols w:num="2" w:space="720" w:equalWidth="0">
            <w:col w:w="4716" w:space="724"/>
            <w:col w:w="3334"/>
          </w:cols>
          <w:noEndnote/>
          <w:docGrid w:linePitch="360"/>
        </w:sectPr>
      </w:pPr>
      <w:r>
        <w:rPr>
          <w:lang w:val="ru-RU" w:eastAsia="ru-RU" w:bidi="ru-RU"/>
          <w:w w:val="100"/>
          <w:spacing w:val="0"/>
          <w:color w:val="000000"/>
          <w:position w:val="0"/>
        </w:rPr>
        <w:t>ул. Крепостная, д. 10,</w:t>
      </w:r>
    </w:p>
    <w:p>
      <w:pPr>
        <w:widowControl w:val="0"/>
        <w:spacing w:line="224"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framePr w:h="210" w:wrap="around" w:vAnchor="text" w:hAnchor="margin" w:x="2055" w:y="-27"/>
        <w:widowControl w:val="0"/>
        <w:keepNext w:val="0"/>
        <w:keepLines w:val="0"/>
        <w:shd w:val="clear" w:color="auto" w:fill="auto"/>
        <w:bidi w:val="0"/>
        <w:jc w:val="left"/>
        <w:spacing w:before="0" w:after="0" w:line="210" w:lineRule="exact"/>
        <w:ind w:left="100" w:right="0" w:firstLine="0"/>
      </w:pPr>
      <w:r>
        <w:rPr>
          <w:rStyle w:val="CharStyle26"/>
          <w:spacing w:val="0"/>
        </w:rPr>
        <w:t>от</w:t>
      </w:r>
    </w:p>
    <w:p>
      <w:pPr>
        <w:pStyle w:val="Style23"/>
        <w:widowControl w:val="0"/>
        <w:keepNext w:val="0"/>
        <w:keepLines w:val="0"/>
        <w:shd w:val="clear" w:color="auto" w:fill="auto"/>
        <w:bidi w:val="0"/>
        <w:jc w:val="left"/>
        <w:spacing w:before="0" w:after="798" w:line="220" w:lineRule="exact"/>
        <w:ind w:left="20" w:right="0" w:firstLine="0"/>
      </w:pPr>
      <w:r>
        <w:rPr>
          <w:rStyle w:val="CharStyle27"/>
        </w:rPr>
        <w:t>На №</w:t>
      </w:r>
    </w:p>
    <w:p>
      <w:pPr>
        <w:pStyle w:val="Style20"/>
        <w:widowControl w:val="0"/>
        <w:keepNext w:val="0"/>
        <w:keepLines w:val="0"/>
        <w:shd w:val="clear" w:color="auto" w:fill="auto"/>
        <w:bidi w:val="0"/>
        <w:jc w:val="center"/>
        <w:spacing w:before="0" w:after="0" w:line="306" w:lineRule="exact"/>
        <w:ind w:left="360" w:right="0" w:firstLine="0"/>
      </w:pPr>
      <w:r>
        <w:rPr>
          <w:lang w:val="ru-RU" w:eastAsia="ru-RU" w:bidi="ru-RU"/>
          <w:sz w:val="24"/>
          <w:szCs w:val="24"/>
          <w:w w:val="100"/>
          <w:spacing w:val="0"/>
          <w:color w:val="000000"/>
          <w:position w:val="0"/>
        </w:rPr>
        <w:t>РЕШЕНИЕ по делу № 010/06/105-453/2020</w:t>
      </w:r>
    </w:p>
    <w:p>
      <w:pPr>
        <w:pStyle w:val="Style3"/>
        <w:widowControl w:val="0"/>
        <w:keepNext w:val="0"/>
        <w:keepLines w:val="0"/>
        <w:shd w:val="clear" w:color="auto" w:fill="auto"/>
        <w:bidi w:val="0"/>
        <w:jc w:val="right"/>
        <w:spacing w:before="0" w:after="0" w:line="306" w:lineRule="exact"/>
        <w:ind w:left="0" w:right="380" w:firstLine="0"/>
      </w:pPr>
      <w:r>
        <w:rPr>
          <w:lang w:val="ru-RU" w:eastAsia="ru-RU" w:bidi="ru-RU"/>
          <w:sz w:val="24"/>
          <w:szCs w:val="24"/>
          <w:w w:val="100"/>
          <w:spacing w:val="0"/>
          <w:color w:val="000000"/>
          <w:position w:val="0"/>
        </w:rPr>
        <w:t>г. Петрозаводск</w:t>
      </w:r>
    </w:p>
    <w:p>
      <w:pPr>
        <w:pStyle w:val="Style3"/>
        <w:widowControl w:val="0"/>
        <w:keepNext w:val="0"/>
        <w:keepLines w:val="0"/>
        <w:shd w:val="clear" w:color="auto" w:fill="auto"/>
        <w:bidi w:val="0"/>
        <w:jc w:val="left"/>
        <w:spacing w:before="0" w:after="243"/>
        <w:ind w:left="20" w:right="1340" w:firstLine="0"/>
      </w:pPr>
      <w:r>
        <w:rPr>
          <w:lang w:val="ru-RU" w:eastAsia="ru-RU" w:bidi="ru-RU"/>
          <w:sz w:val="24"/>
          <w:szCs w:val="24"/>
          <w:w w:val="100"/>
          <w:spacing w:val="0"/>
          <w:color w:val="000000"/>
          <w:position w:val="0"/>
        </w:rPr>
        <w:t>Резолютивная часть решения объявлена «09» июля 2020 года Решение в полном объеме изготовлено «14» июля 2020 года</w:t>
      </w:r>
    </w:p>
    <w:p>
      <w:pPr>
        <w:pStyle w:val="Style3"/>
        <w:widowControl w:val="0"/>
        <w:keepNext w:val="0"/>
        <w:keepLines w:val="0"/>
        <w:shd w:val="clear" w:color="auto" w:fill="auto"/>
        <w:bidi w:val="0"/>
        <w:jc w:val="both"/>
        <w:spacing w:before="0" w:after="0" w:line="310" w:lineRule="exact"/>
        <w:ind w:left="20" w:right="380" w:firstLine="560"/>
      </w:pPr>
      <w:r>
        <w:rPr>
          <w:lang w:val="ru-RU" w:eastAsia="ru-RU" w:bidi="ru-RU"/>
          <w:sz w:val="24"/>
          <w:szCs w:val="24"/>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3"/>
        <w:widowControl w:val="0"/>
        <w:keepNext w:val="0"/>
        <w:keepLines w:val="0"/>
        <w:shd w:val="clear" w:color="auto" w:fill="auto"/>
        <w:bidi w:val="0"/>
        <w:jc w:val="both"/>
        <w:spacing w:before="0" w:after="0" w:line="310" w:lineRule="exact"/>
        <w:ind w:left="20" w:right="380" w:firstLine="560"/>
      </w:pPr>
      <w:r>
        <w:rPr>
          <w:lang w:val="ru-RU" w:eastAsia="ru-RU" w:bidi="ru-RU"/>
          <w:sz w:val="24"/>
          <w:szCs w:val="24"/>
          <w:w w:val="100"/>
          <w:spacing w:val="0"/>
          <w:color w:val="000000"/>
          <w:position w:val="0"/>
        </w:rPr>
        <w:t>Петров М.С. - заместитель Председателя Комиссии, заместитель руководителя- начальник отдела контроля органов власти и закупок Карельского УФАС России;</w:t>
      </w:r>
    </w:p>
    <w:p>
      <w:pPr>
        <w:pStyle w:val="Style3"/>
        <w:widowControl w:val="0"/>
        <w:keepNext w:val="0"/>
        <w:keepLines w:val="0"/>
        <w:shd w:val="clear" w:color="auto" w:fill="auto"/>
        <w:bidi w:val="0"/>
        <w:jc w:val="both"/>
        <w:spacing w:before="0" w:after="0" w:line="310" w:lineRule="exact"/>
        <w:ind w:left="20" w:right="380" w:firstLine="560"/>
      </w:pPr>
      <w:r>
        <w:rPr>
          <w:lang w:val="ru-RU" w:eastAsia="ru-RU" w:bidi="ru-RU"/>
          <w:sz w:val="24"/>
          <w:szCs w:val="24"/>
          <w:w w:val="100"/>
          <w:spacing w:val="0"/>
          <w:color w:val="000000"/>
          <w:position w:val="0"/>
        </w:rPr>
        <w:t>Суханов М.С. - член комиссии, заместитель начальника отдела контроля органов власти и закупок Карельского УФАС России;</w:t>
      </w:r>
    </w:p>
    <w:p>
      <w:pPr>
        <w:pStyle w:val="Style3"/>
        <w:widowControl w:val="0"/>
        <w:keepNext w:val="0"/>
        <w:keepLines w:val="0"/>
        <w:shd w:val="clear" w:color="auto" w:fill="auto"/>
        <w:bidi w:val="0"/>
        <w:jc w:val="both"/>
        <w:spacing w:before="0" w:after="60" w:line="310" w:lineRule="exact"/>
        <w:ind w:left="20" w:right="380" w:firstLine="560"/>
      </w:pPr>
      <w:r>
        <w:rPr>
          <w:lang w:val="ru-RU" w:eastAsia="ru-RU" w:bidi="ru-RU"/>
          <w:sz w:val="24"/>
          <w:szCs w:val="24"/>
          <w:w w:val="100"/>
          <w:spacing w:val="0"/>
          <w:color w:val="000000"/>
          <w:position w:val="0"/>
        </w:rPr>
        <w:t>Ковалева О.В. - член Комиссии, ведущий специалист - эксперт отдела контроля органов власти и закупок Карельского УФАС России;</w:t>
      </w:r>
    </w:p>
    <w:p>
      <w:pPr>
        <w:pStyle w:val="Style3"/>
        <w:widowControl w:val="0"/>
        <w:keepNext w:val="0"/>
        <w:keepLines w:val="0"/>
        <w:shd w:val="clear" w:color="auto" w:fill="auto"/>
        <w:bidi w:val="0"/>
        <w:jc w:val="both"/>
        <w:spacing w:before="0" w:after="0" w:line="310" w:lineRule="exact"/>
        <w:ind w:left="20" w:right="0" w:firstLine="560"/>
      </w:pPr>
      <w:r>
        <w:rPr>
          <w:lang w:val="ru-RU" w:eastAsia="ru-RU" w:bidi="ru-RU"/>
          <w:sz w:val="24"/>
          <w:szCs w:val="24"/>
          <w:w w:val="100"/>
          <w:spacing w:val="0"/>
          <w:color w:val="000000"/>
          <w:position w:val="0"/>
        </w:rPr>
        <w:t>Жалоба рассмотрена в режиме видеоконференции.</w:t>
      </w:r>
    </w:p>
    <w:p>
      <w:pPr>
        <w:pStyle w:val="Style3"/>
        <w:widowControl w:val="0"/>
        <w:keepNext w:val="0"/>
        <w:keepLines w:val="0"/>
        <w:shd w:val="clear" w:color="auto" w:fill="auto"/>
        <w:bidi w:val="0"/>
        <w:jc w:val="both"/>
        <w:spacing w:before="0" w:after="0" w:line="310" w:lineRule="exact"/>
        <w:ind w:left="20" w:right="380" w:firstLine="560"/>
      </w:pPr>
      <w:r>
        <w:rPr>
          <w:lang w:val="ru-RU" w:eastAsia="ru-RU" w:bidi="ru-RU"/>
          <w:sz w:val="24"/>
          <w:szCs w:val="24"/>
          <w:w w:val="100"/>
          <w:spacing w:val="0"/>
          <w:color w:val="000000"/>
          <w:position w:val="0"/>
        </w:rPr>
        <w:t>в присутствии представителя Заказчика - ГБУЗ «РОД» Шлихтовой Н.В (доверенность в материалах дела);</w:t>
      </w:r>
    </w:p>
    <w:p>
      <w:pPr>
        <w:pStyle w:val="Style3"/>
        <w:widowControl w:val="0"/>
        <w:keepNext w:val="0"/>
        <w:keepLines w:val="0"/>
        <w:shd w:val="clear" w:color="auto" w:fill="auto"/>
        <w:bidi w:val="0"/>
        <w:jc w:val="both"/>
        <w:spacing w:before="0" w:after="0" w:line="310" w:lineRule="exact"/>
        <w:ind w:left="20" w:right="380" w:firstLine="560"/>
      </w:pPr>
      <w:r>
        <w:rPr>
          <w:lang w:val="ru-RU" w:eastAsia="ru-RU" w:bidi="ru-RU"/>
          <w:sz w:val="24"/>
          <w:szCs w:val="24"/>
          <w:w w:val="100"/>
          <w:spacing w:val="0"/>
          <w:color w:val="000000"/>
          <w:position w:val="0"/>
        </w:rPr>
        <w:t>в присутствии представителей Заявителя - ООО «Комбинат социального питания» Данынина К.Ю. (копия доверенности в материалах дела);</w:t>
      </w:r>
    </w:p>
    <w:p>
      <w:pPr>
        <w:pStyle w:val="Style3"/>
        <w:widowControl w:val="0"/>
        <w:keepNext w:val="0"/>
        <w:keepLines w:val="0"/>
        <w:shd w:val="clear" w:color="auto" w:fill="auto"/>
        <w:bidi w:val="0"/>
        <w:jc w:val="both"/>
        <w:spacing w:before="0" w:after="66" w:line="310" w:lineRule="exact"/>
        <w:ind w:left="20" w:right="380" w:firstLine="560"/>
      </w:pPr>
      <w:r>
        <w:rPr>
          <w:lang w:val="ru-RU" w:eastAsia="ru-RU" w:bidi="ru-RU"/>
          <w:sz w:val="24"/>
          <w:szCs w:val="24"/>
          <w:w w:val="100"/>
          <w:spacing w:val="0"/>
          <w:color w:val="000000"/>
          <w:position w:val="0"/>
        </w:rPr>
        <w:t>в присутствии представителя заинтересованного лица ООО «Диетгрупп» Шлямина И.В. (копия доверенности в материалах дела);</w:t>
      </w:r>
    </w:p>
    <w:p>
      <w:pPr>
        <w:pStyle w:val="Style3"/>
        <w:widowControl w:val="0"/>
        <w:keepNext w:val="0"/>
        <w:keepLines w:val="0"/>
        <w:shd w:val="clear" w:color="auto" w:fill="auto"/>
        <w:bidi w:val="0"/>
        <w:jc w:val="both"/>
        <w:spacing w:before="0" w:after="30" w:line="302" w:lineRule="exact"/>
        <w:ind w:left="20" w:right="380" w:firstLine="560"/>
      </w:pPr>
      <w:r>
        <w:rPr>
          <w:lang w:val="ru-RU" w:eastAsia="ru-RU" w:bidi="ru-RU"/>
          <w:sz w:val="24"/>
          <w:szCs w:val="24"/>
          <w:w w:val="100"/>
          <w:spacing w:val="0"/>
          <w:color w:val="000000"/>
          <w:position w:val="0"/>
        </w:rPr>
        <w:t>рассмотрев жалобу ООО «Комбинат социального питания» на действия Заказчика - ГБУЗ «РОД» при проведении конкурса с ограниченным участием в электронной форме на оказание услуг по организации готового горячего питания пациентов Г осударственног о бюджетного учреждения здравоохранения Республики Карелия «Республиканский онкологический диспансер» (извещение № 0306200011420000157) (далее - конкурс) и в результате осуществления</w:t>
      </w:r>
    </w:p>
    <w:p>
      <w:pPr>
        <w:pStyle w:val="Style28"/>
        <w:widowControl w:val="0"/>
        <w:keepNext/>
        <w:keepLines/>
        <w:shd w:val="clear" w:color="auto" w:fill="auto"/>
        <w:bidi w:val="0"/>
        <w:spacing w:before="0" w:after="0" w:line="340" w:lineRule="exact"/>
        <w:ind w:left="0" w:right="380" w:firstLine="0"/>
      </w:pPr>
      <w:bookmarkStart w:id="1" w:name="bookmark1"/>
      <w:r>
        <w:rPr>
          <w:lang w:val="ru-RU" w:eastAsia="ru-RU" w:bidi="ru-RU"/>
          <w:w w:val="100"/>
          <w:color w:val="000000"/>
          <w:position w:val="0"/>
        </w:rPr>
        <w:t>002236 О</w:t>
      </w:r>
      <w:bookmarkEnd w:id="1"/>
      <w:r>
        <w:br w:type="page"/>
      </w:r>
    </w:p>
    <w:p>
      <w:pPr>
        <w:pStyle w:val="Style3"/>
        <w:widowControl w:val="0"/>
        <w:keepNext w:val="0"/>
        <w:keepLines w:val="0"/>
        <w:shd w:val="clear" w:color="auto" w:fill="auto"/>
        <w:bidi w:val="0"/>
        <w:jc w:val="both"/>
        <w:spacing w:before="0" w:after="0" w:line="310" w:lineRule="exact"/>
        <w:ind w:left="20" w:right="40" w:firstLine="0"/>
      </w:pPr>
      <w:r>
        <w:rPr>
          <w:lang w:val="ru-RU" w:eastAsia="ru-RU" w:bidi="ru-RU"/>
          <w:sz w:val="24"/>
          <w:szCs w:val="24"/>
          <w:w w:val="100"/>
          <w:spacing w:val="0"/>
          <w:color w:val="000000"/>
          <w:position w:val="0"/>
        </w:rPr>
        <w:t>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w:t>
      </w:r>
    </w:p>
    <w:p>
      <w:pPr>
        <w:pStyle w:val="Style3"/>
        <w:numPr>
          <w:ilvl w:val="0"/>
          <w:numId w:val="1"/>
        </w:numPr>
        <w:tabs>
          <w:tab w:leader="none" w:pos="1355" w:val="left"/>
        </w:tabs>
        <w:widowControl w:val="0"/>
        <w:keepNext w:val="0"/>
        <w:keepLines w:val="0"/>
        <w:shd w:val="clear" w:color="auto" w:fill="auto"/>
        <w:bidi w:val="0"/>
        <w:jc w:val="both"/>
        <w:spacing w:before="0" w:after="176" w:line="310" w:lineRule="exact"/>
        <w:ind w:left="20" w:right="0" w:firstLine="0"/>
      </w:pPr>
      <w:r>
        <w:rPr>
          <w:lang w:val="ru-RU" w:eastAsia="ru-RU" w:bidi="ru-RU"/>
          <w:sz w:val="24"/>
          <w:szCs w:val="24"/>
          <w:w w:val="100"/>
          <w:spacing w:val="0"/>
          <w:color w:val="000000"/>
          <w:position w:val="0"/>
        </w:rPr>
        <w:t>№36262</w:t>
      </w:r>
    </w:p>
    <w:p>
      <w:pPr>
        <w:pStyle w:val="Style20"/>
        <w:widowControl w:val="0"/>
        <w:keepNext w:val="0"/>
        <w:keepLines w:val="0"/>
        <w:shd w:val="clear" w:color="auto" w:fill="auto"/>
        <w:bidi w:val="0"/>
        <w:jc w:val="center"/>
        <w:spacing w:before="0" w:after="86"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10" w:lineRule="exact"/>
        <w:ind w:left="20" w:right="40" w:firstLine="580"/>
      </w:pPr>
      <w:r>
        <w:rPr>
          <w:lang w:val="ru-RU" w:eastAsia="ru-RU" w:bidi="ru-RU"/>
          <w:sz w:val="24"/>
          <w:szCs w:val="24"/>
          <w:w w:val="100"/>
          <w:spacing w:val="0"/>
          <w:color w:val="000000"/>
          <w:position w:val="0"/>
        </w:rPr>
        <w:t>В своей жалобе Заявитель указывает, что Заказчиком при проведении конкурса и составлении конкурсной документации нарушены положения статей 33 и 54.4 Закона о контрактной системе.</w:t>
      </w:r>
    </w:p>
    <w:p>
      <w:pPr>
        <w:pStyle w:val="Style3"/>
        <w:widowControl w:val="0"/>
        <w:keepNext w:val="0"/>
        <w:keepLines w:val="0"/>
        <w:shd w:val="clear" w:color="auto" w:fill="auto"/>
        <w:bidi w:val="0"/>
        <w:jc w:val="both"/>
        <w:spacing w:before="0" w:after="0" w:line="310" w:lineRule="exact"/>
        <w:ind w:left="20" w:right="40" w:firstLine="580"/>
      </w:pPr>
      <w:r>
        <w:rPr>
          <w:lang w:val="ru-RU" w:eastAsia="ru-RU" w:bidi="ru-RU"/>
          <w:sz w:val="24"/>
          <w:szCs w:val="24"/>
          <w:w w:val="100"/>
          <w:spacing w:val="0"/>
          <w:color w:val="000000"/>
          <w:position w:val="0"/>
        </w:rPr>
        <w:t>Так согласно разделу 30 Конкурсной документации оценка и сопоставление заявок на участие в конкурсе с ограниченным участием в электронной форме будет осуществляться Единой комиссией в соответствии с Законом и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с использованием следующих критериев:</w:t>
      </w:r>
    </w:p>
    <w:p>
      <w:pPr>
        <w:pStyle w:val="Style3"/>
        <w:numPr>
          <w:ilvl w:val="0"/>
          <w:numId w:val="3"/>
        </w:numPr>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 xml:space="preserve"> Цена контракта.</w:t>
      </w:r>
    </w:p>
    <w:p>
      <w:pPr>
        <w:pStyle w:val="Style3"/>
        <w:numPr>
          <w:ilvl w:val="0"/>
          <w:numId w:val="3"/>
        </w:numPr>
        <w:widowControl w:val="0"/>
        <w:keepNext w:val="0"/>
        <w:keepLines w:val="0"/>
        <w:shd w:val="clear" w:color="auto" w:fill="auto"/>
        <w:bidi w:val="0"/>
        <w:jc w:val="both"/>
        <w:spacing w:before="0" w:after="0" w:line="310" w:lineRule="exact"/>
        <w:ind w:left="20" w:right="40" w:firstLine="58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10" w:lineRule="exact"/>
        <w:ind w:left="20" w:right="40" w:firstLine="580"/>
      </w:pPr>
      <w:r>
        <w:rPr>
          <w:lang w:val="ru-RU" w:eastAsia="ru-RU" w:bidi="ru-RU"/>
          <w:sz w:val="24"/>
          <w:szCs w:val="24"/>
          <w:w w:val="100"/>
          <w:spacing w:val="0"/>
          <w:color w:val="000000"/>
          <w:position w:val="0"/>
        </w:rPr>
        <w:t>Согласно п.2 раздела 30 Конкурсной документации критерий «Квалификация участников закупки» подразделяется на следующие нестоимостные критерии оценки:</w:t>
      </w:r>
    </w:p>
    <w:p>
      <w:pPr>
        <w:pStyle w:val="Style3"/>
        <w:numPr>
          <w:ilvl w:val="0"/>
          <w:numId w:val="5"/>
        </w:numPr>
        <w:widowControl w:val="0"/>
        <w:keepNext w:val="0"/>
        <w:keepLines w:val="0"/>
        <w:shd w:val="clear" w:color="auto" w:fill="auto"/>
        <w:bidi w:val="0"/>
        <w:jc w:val="both"/>
        <w:spacing w:before="0" w:after="0" w:line="310" w:lineRule="exact"/>
        <w:ind w:left="20" w:right="40" w:firstLine="580"/>
      </w:pPr>
      <w:r>
        <w:rPr>
          <w:lang w:val="ru-RU" w:eastAsia="ru-RU" w:bidi="ru-RU"/>
          <w:sz w:val="24"/>
          <w:szCs w:val="24"/>
          <w:w w:val="100"/>
          <w:spacing w:val="0"/>
          <w:color w:val="000000"/>
          <w:position w:val="0"/>
        </w:rPr>
        <w:t xml:space="preserve"> Опыт работы (показатель) (1НЦЫ). Общий объем оказанных услуг, выраженный в человеко-днях, по результатам исполненных без пеней, штрафов государственных, муниципальных контрактов, договоров с учреждениями здравоохранения на оказание услуг по организации питания, заключенных по результатам открытых конкурсов (в том числе в электронной форме), конкурсов с ограниченным участием (в том числе в электронной форме), аукционов в электронной форме, запросов котировок (в том числе в электронной форме), запросов предложений (в том числе в электронной форме)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или Федерального закона от 18.07.2011 № 223-ФЗ «О закупках товаров, работ, услуг отдельными видами юридических лиц».;</w:t>
      </w:r>
    </w:p>
    <w:p>
      <w:pPr>
        <w:pStyle w:val="Style3"/>
        <w:numPr>
          <w:ilvl w:val="0"/>
          <w:numId w:val="5"/>
        </w:numPr>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 xml:space="preserve"> Обеспеченность участника закупки трудовыми ресурсами (показатель);</w:t>
      </w:r>
    </w:p>
    <w:p>
      <w:pPr>
        <w:pStyle w:val="Style3"/>
        <w:numPr>
          <w:ilvl w:val="0"/>
          <w:numId w:val="5"/>
        </w:numPr>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 xml:space="preserve"> Деловая репутация (показатель);</w:t>
      </w:r>
    </w:p>
    <w:p>
      <w:pPr>
        <w:pStyle w:val="Style3"/>
        <w:numPr>
          <w:ilvl w:val="0"/>
          <w:numId w:val="5"/>
        </w:numPr>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 xml:space="preserve"> Деловая репутация (показатель).</w:t>
      </w:r>
    </w:p>
    <w:p>
      <w:pPr>
        <w:pStyle w:val="Style3"/>
        <w:widowControl w:val="0"/>
        <w:keepNext w:val="0"/>
        <w:keepLines w:val="0"/>
        <w:shd w:val="clear" w:color="auto" w:fill="auto"/>
        <w:bidi w:val="0"/>
        <w:jc w:val="both"/>
        <w:spacing w:before="0" w:after="0" w:line="310" w:lineRule="exact"/>
        <w:ind w:left="20" w:right="40" w:firstLine="580"/>
      </w:pPr>
      <w:r>
        <w:rPr>
          <w:lang w:val="ru-RU" w:eastAsia="ru-RU" w:bidi="ru-RU"/>
          <w:sz w:val="24"/>
          <w:szCs w:val="24"/>
          <w:w w:val="100"/>
          <w:spacing w:val="0"/>
          <w:color w:val="000000"/>
          <w:position w:val="0"/>
        </w:rPr>
        <w:t>Таким образом, согласно вышеуказанным положениям конкурсной документации, критерием оценки квалификации участников закупки является, в том числе, общий объем оказанных услуг, выраженный в человеко-днях. При этом учитываются исключительно государственные, муниципальные контракты, договоры, заключенные с учреждениями здравоохранения.</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Указанное описание нестоимостных критериев противоречит положениям части 1 статьи 33 Закона о контрактной системе, поскольку ограничивает права участников закупки ввиду следующих обстоятельств:</w:t>
      </w:r>
    </w:p>
    <w:p>
      <w:pPr>
        <w:pStyle w:val="Style20"/>
        <w:widowControl w:val="0"/>
        <w:keepNext w:val="0"/>
        <w:keepLines w:val="0"/>
        <w:shd w:val="clear" w:color="auto" w:fill="auto"/>
        <w:bidi w:val="0"/>
        <w:jc w:val="both"/>
        <w:spacing w:before="0" w:after="0" w:line="310" w:lineRule="exact"/>
        <w:ind w:left="20" w:right="0" w:firstLine="560"/>
      </w:pPr>
      <w:r>
        <w:rPr>
          <w:lang w:val="ru-RU" w:eastAsia="ru-RU" w:bidi="ru-RU"/>
          <w:sz w:val="24"/>
          <w:szCs w:val="24"/>
          <w:w w:val="100"/>
          <w:spacing w:val="0"/>
          <w:color w:val="000000"/>
          <w:position w:val="0"/>
        </w:rPr>
        <w:t>Довод № 1:</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Общий объем оказанных услуг, выраженный исключительно в человеко-днях, не может объективно отражать опыт исполнения контрактов или договоров, заключенных участником в рамках Закона о контрактной системе, и заведомо при подведении итогов конкурса с таким критерием преимущество предоставляется участникам закупки, имеющим больший объем человеко-дней, не учитывая при этом иных объективных факторов, подтверждающих опыт и квалификацию.</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В частности, объем услуг, выраженный исключительно в человеко-днях без учета цены контракта, в принципе не может свидетельствовать о наличии большего опыта и профессионализма исполнения контрактов, что противоречит положениям Закона о контрактной системе.</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Так, при наличии у одного участника закупки контракта с количеством человеко-дней в месяц равным 20 ООО с ценой контракта 10 ООО ООО руб., а у другого участника закупки контракта с количеством человеко-дней в месяц равным 14 ООО, но с ценой контракта 50 ООО ООО при равном количестве контрактов, преимущество получит участник, имеющий большее количество человеко-дней в месяц, без учета цены контракта, что не позволяет должным образом определить опыт и профессионализм участника закупки.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Указанный подход создает преимущественное положение участнику закупки лишь на том основании, что он имеет большее количество человеко-дней в месяц, что позволит ему одержать победу в конкурсе. При этом за наибольшее предложение по количеству человеко-дней участник закупки получит 60 баллов из </w:t>
      </w:r>
      <w:r>
        <w:rPr>
          <w:rStyle w:val="CharStyle30"/>
        </w:rPr>
        <w:t>100</w:t>
      </w:r>
      <w:r>
        <w:rPr>
          <w:rStyle w:val="CharStyle31"/>
        </w:rPr>
        <w:t>.</w:t>
      </w:r>
    </w:p>
    <w:p>
      <w:pPr>
        <w:pStyle w:val="Style3"/>
        <w:widowControl w:val="0"/>
        <w:keepNext w:val="0"/>
        <w:keepLines w:val="0"/>
        <w:shd w:val="clear" w:color="auto" w:fill="auto"/>
        <w:bidi w:val="0"/>
        <w:jc w:val="both"/>
        <w:spacing w:before="0" w:after="296" w:line="310" w:lineRule="exact"/>
        <w:ind w:left="20" w:right="20" w:firstLine="560"/>
      </w:pPr>
      <w:r>
        <w:rPr>
          <w:lang w:val="ru-RU" w:eastAsia="ru-RU" w:bidi="ru-RU"/>
          <w:sz w:val="24"/>
          <w:szCs w:val="24"/>
          <w:w w:val="100"/>
          <w:spacing w:val="0"/>
          <w:color w:val="000000"/>
          <w:position w:val="0"/>
        </w:rPr>
        <w:t>Согласно пункту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0"/>
        <w:widowControl w:val="0"/>
        <w:keepNext w:val="0"/>
        <w:keepLines w:val="0"/>
        <w:shd w:val="clear" w:color="auto" w:fill="auto"/>
        <w:bidi w:val="0"/>
        <w:jc w:val="both"/>
        <w:spacing w:before="0" w:after="0" w:line="240" w:lineRule="exact"/>
        <w:ind w:left="20" w:right="0" w:firstLine="560"/>
      </w:pPr>
      <w:r>
        <w:rPr>
          <w:lang w:val="ru-RU" w:eastAsia="ru-RU" w:bidi="ru-RU"/>
          <w:sz w:val="24"/>
          <w:szCs w:val="24"/>
          <w:w w:val="100"/>
          <w:spacing w:val="0"/>
          <w:color w:val="000000"/>
          <w:position w:val="0"/>
        </w:rPr>
        <w:t>Довод № 2:</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При определении общего объема оказанных услуг учитываются государственные, муниципальные контракты, договоры, заключенные исключительно с учреждениями здравоохранения.</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Таким образом, Заказчик необоснованно не оценивает опыт в других учреждениях, организациях, не являющихся медицинскими, что не способствует выявлению лучших условий оказания услуг.</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К примеру, участник закупки, оказывающий услуги по организации питания учреждениям дошкольного образования либо социальным учреждениям, будет ограничен в возможности принять участие в конкурсе, хотя и обладает достаточным опытом по организации услуг питания.</w:t>
      </w:r>
    </w:p>
    <w:p>
      <w:pPr>
        <w:pStyle w:val="Style3"/>
        <w:widowControl w:val="0"/>
        <w:keepNext w:val="0"/>
        <w:keepLines w:val="0"/>
        <w:shd w:val="clear" w:color="auto" w:fill="auto"/>
        <w:bidi w:val="0"/>
        <w:jc w:val="both"/>
        <w:spacing w:before="0" w:after="237" w:line="310" w:lineRule="exact"/>
        <w:ind w:left="20" w:right="20" w:firstLine="580"/>
      </w:pPr>
      <w:r>
        <w:rPr>
          <w:lang w:val="ru-RU" w:eastAsia="ru-RU" w:bidi="ru-RU"/>
          <w:sz w:val="24"/>
          <w:szCs w:val="24"/>
          <w:w w:val="100"/>
          <w:spacing w:val="0"/>
          <w:color w:val="000000"/>
          <w:position w:val="0"/>
        </w:rPr>
        <w:t>Заявитель отмечает, что оказание одних услуг разным хозяйствующим субъектам, не относящихся к учреждениям здравоохранения, не свидетельствует о невозможности надлежащего исполнения обязательств по договору.</w:t>
      </w:r>
    </w:p>
    <w:p>
      <w:pPr>
        <w:pStyle w:val="Style3"/>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Представитель Заказчика при рассмотрении жалобы с её доводами не согласился и просил признать её необоснованной. Считает что доводы жалобы, касающиеся ограничения конкуренции не подтверждены подателем жалобы. Заказчиком в рамках своей компетенции, в соответствии со своей потребностью, а также с учетом специфики работы, установлены критерии, являющиеся значимыми для Заказчика.</w:t>
      </w:r>
    </w:p>
    <w:p>
      <w:pPr>
        <w:pStyle w:val="Style3"/>
        <w:tabs>
          <w:tab w:leader="none" w:pos="9769" w:val="right"/>
        </w:tabs>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Отсутствие у каких-либо лиц, заинтересованных в заключение контракта, возможности оказать услугу, соответствующую потребности заказчика, не свидетельствует о нарушении заказчиком прав этих лиц, а также об ограничении заказчиком числа участников закупки. Действующим</w:t>
        <w:tab/>
        <w:t>законодательством</w:t>
      </w:r>
    </w:p>
    <w:p>
      <w:pPr>
        <w:pStyle w:val="Style3"/>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Российской Федерации не установлено требование о расширении конкуренции до всех без исключения. потенциальных участников, так как следствием данного расширения станет вероятность получения заказчиком услуги, не отвечающей потребностям и являющейся важной для Заказчика, и которая может негативно отразиться на здоровье пациентов.</w:t>
      </w:r>
    </w:p>
    <w:p>
      <w:pPr>
        <w:pStyle w:val="Style3"/>
        <w:widowControl w:val="0"/>
        <w:keepNext w:val="0"/>
        <w:keepLines w:val="0"/>
        <w:shd w:val="clear" w:color="auto" w:fill="auto"/>
        <w:bidi w:val="0"/>
        <w:jc w:val="both"/>
        <w:spacing w:before="0" w:after="234" w:line="310" w:lineRule="exact"/>
        <w:ind w:left="20" w:right="20" w:firstLine="580"/>
      </w:pPr>
      <w:r>
        <w:rPr>
          <w:lang w:val="ru-RU" w:eastAsia="ru-RU" w:bidi="ru-RU"/>
          <w:sz w:val="24"/>
          <w:szCs w:val="24"/>
          <w:w w:val="100"/>
          <w:spacing w:val="0"/>
          <w:color w:val="000000"/>
          <w:position w:val="0"/>
        </w:rPr>
        <w:t>Кроме того, на участие в конкурсе с ограниченным участием в электронной форме было подано 3 заявки, что также подтверждает отсутствие ограничения конкуренции и просит признать жалобу Заявителя необоснованной.</w:t>
      </w:r>
    </w:p>
    <w:p>
      <w:pPr>
        <w:pStyle w:val="Style3"/>
        <w:widowControl w:val="0"/>
        <w:keepNext w:val="0"/>
        <w:keepLines w:val="0"/>
        <w:shd w:val="clear" w:color="auto" w:fill="auto"/>
        <w:bidi w:val="0"/>
        <w:jc w:val="both"/>
        <w:spacing w:before="0" w:after="0" w:line="317" w:lineRule="exact"/>
        <w:ind w:left="20" w:right="20" w:firstLine="580"/>
      </w:pPr>
      <w:r>
        <w:rPr>
          <w:lang w:val="ru-RU" w:eastAsia="ru-RU" w:bidi="ru-RU"/>
          <w:sz w:val="24"/>
          <w:szCs w:val="24"/>
          <w:w w:val="100"/>
          <w:spacing w:val="0"/>
          <w:color w:val="000000"/>
          <w:position w:val="0"/>
        </w:rPr>
        <w:t xml:space="preserve">Конкурсная документация утверждена главным врачом ГБУЗ «РОД» Хидишяном Е.А. и размещена на официальном сайте Единой информационной системы в сфере закупок </w:t>
      </w:r>
      <w:r>
        <w:rPr>
          <w:lang w:val="en-US" w:eastAsia="en-US" w:bidi="en-US"/>
          <w:sz w:val="24"/>
          <w:szCs w:val="24"/>
          <w:w w:val="100"/>
          <w:spacing w:val="0"/>
          <w:color w:val="000000"/>
          <w:position w:val="0"/>
        </w:rPr>
        <w:t>(</w:t>
      </w:r>
      <w:r>
        <w:fldChar w:fldCharType="begin"/>
      </w:r>
      <w:r>
        <w:rPr>
          <w:rStyle w:val="CharStyle32"/>
        </w:rPr>
        <w:instrText> HYPERLINK "http://zakupki.gov.ru" </w:instrText>
      </w:r>
      <w:r>
        <w:fldChar w:fldCharType="separate"/>
      </w:r>
      <w:r>
        <w:rPr>
          <w:rStyle w:val="Hyperlink"/>
          <w:lang w:val="en-US" w:eastAsia="en-US" w:bidi="en-US"/>
        </w:rPr>
        <w:t>http</w:t>
      </w:r>
      <w:r>
        <w:rPr>
          <w:rStyle w:val="Hyperlink"/>
        </w:rPr>
        <w:t>://</w:t>
      </w:r>
      <w:r>
        <w:rPr>
          <w:rStyle w:val="Hyperlink"/>
          <w:lang w:val="en-US" w:eastAsia="en-US" w:bidi="en-US"/>
        </w:rPr>
        <w:t>zakupki</w:t>
      </w:r>
      <w:r>
        <w:rPr>
          <w:rStyle w:val="Hyperlink"/>
        </w:rPr>
        <w:t>.</w:t>
      </w:r>
      <w:r>
        <w:rPr>
          <w:rStyle w:val="Hyperlink"/>
          <w:lang w:val="en-US" w:eastAsia="en-US" w:bidi="en-US"/>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10.06.2020.</w:t>
      </w:r>
    </w:p>
    <w:p>
      <w:pPr>
        <w:pStyle w:val="Style3"/>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Номер извещения: 0306200011420000157.</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Наименование объекта закупки: оказание услуг по организации готового горячего питания пациентов Г осударственного бюджетного учреждения здравоохранения Республики Карелия «Республиканский онкологический диспансер».</w:t>
      </w:r>
    </w:p>
    <w:p>
      <w:pPr>
        <w:pStyle w:val="Style3"/>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Способ закупки: конкурс с ограниченным участием в электронной форме.</w:t>
      </w:r>
    </w:p>
    <w:p>
      <w:pPr>
        <w:pStyle w:val="Style3"/>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Заказчик: ГБУЗ «РОД».</w:t>
      </w:r>
    </w:p>
    <w:p>
      <w:pPr>
        <w:pStyle w:val="Style3"/>
        <w:widowControl w:val="0"/>
        <w:keepNext w:val="0"/>
        <w:keepLines w:val="0"/>
        <w:shd w:val="clear" w:color="auto" w:fill="auto"/>
        <w:bidi w:val="0"/>
        <w:jc w:val="both"/>
        <w:spacing w:before="0" w:after="243" w:line="310" w:lineRule="exact"/>
        <w:ind w:left="20" w:right="0" w:firstLine="580"/>
      </w:pPr>
      <w:r>
        <w:rPr>
          <w:lang w:val="ru-RU" w:eastAsia="ru-RU" w:bidi="ru-RU"/>
          <w:sz w:val="24"/>
          <w:szCs w:val="24"/>
          <w:w w:val="100"/>
          <w:spacing w:val="0"/>
          <w:color w:val="000000"/>
          <w:position w:val="0"/>
        </w:rPr>
        <w:t>Начальная (максимальная) цена контракта: 40 352 210,00 рублей.</w:t>
      </w:r>
    </w:p>
    <w:p>
      <w:pPr>
        <w:pStyle w:val="Style20"/>
        <w:widowControl w:val="0"/>
        <w:keepNext w:val="0"/>
        <w:keepLines w:val="0"/>
        <w:shd w:val="clear" w:color="auto" w:fill="auto"/>
        <w:bidi w:val="0"/>
        <w:jc w:val="both"/>
        <w:spacing w:before="0" w:after="57" w:line="306" w:lineRule="exact"/>
        <w:ind w:left="20" w:right="20" w:firstLine="580"/>
      </w:pPr>
      <w:r>
        <w:rPr>
          <w:lang w:val="ru-RU" w:eastAsia="ru-RU" w:bidi="ru-RU"/>
          <w:sz w:val="24"/>
          <w:szCs w:val="24"/>
          <w:w w:val="100"/>
          <w:spacing w:val="0"/>
          <w:color w:val="000000"/>
          <w:position w:val="0"/>
        </w:rPr>
        <w:t>Изучив представленные материалы, заслушав пояснения представителей лиц, участвующих в деле, Комиссия Карельского УФАС России пришла к следующим выводам:</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 xml:space="preserve">Согласно, статье 56.1 Закона о контрактной системе,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w:t>
      </w:r>
      <w:r>
        <w:rPr>
          <w:rStyle w:val="CharStyle32"/>
        </w:rPr>
        <w:t>к участникам закупки предъявляются</w:t>
      </w:r>
      <w:r>
        <w:rPr>
          <w:lang w:val="ru-RU" w:eastAsia="ru-RU" w:bidi="ru-RU"/>
          <w:sz w:val="24"/>
          <w:szCs w:val="24"/>
          <w:w w:val="100"/>
          <w:spacing w:val="0"/>
          <w:color w:val="000000"/>
          <w:position w:val="0"/>
        </w:rPr>
        <w:t xml:space="preserve"> </w:t>
      </w:r>
      <w:r>
        <w:rPr>
          <w:rStyle w:val="CharStyle32"/>
        </w:rPr>
        <w:t>единые требования и дополнительные требования</w:t>
      </w:r>
      <w:r>
        <w:rPr>
          <w:lang w:val="ru-RU" w:eastAsia="ru-RU" w:bidi="ru-RU"/>
          <w:sz w:val="24"/>
          <w:szCs w:val="24"/>
          <w:w w:val="100"/>
          <w:spacing w:val="0"/>
          <w:color w:val="000000"/>
          <w:position w:val="0"/>
        </w:rPr>
        <w:t xml:space="preserve">, </w:t>
      </w:r>
      <w:r>
        <w:rPr>
          <w:rStyle w:val="CharStyle32"/>
        </w:rPr>
        <w:t>победитель</w:t>
      </w:r>
      <w:r>
        <w:rPr>
          <w:lang w:val="ru-RU" w:eastAsia="ru-RU" w:bidi="ru-RU"/>
          <w:sz w:val="24"/>
          <w:szCs w:val="24"/>
          <w:w w:val="100"/>
          <w:spacing w:val="0"/>
          <w:color w:val="000000"/>
          <w:position w:val="0"/>
        </w:rPr>
        <w:t xml:space="preserve"> такого конкурса </w:t>
      </w:r>
      <w:r>
        <w:rPr>
          <w:rStyle w:val="CharStyle32"/>
        </w:rPr>
        <w:t>определяется из числа участников закупки, соответствующих предъявленным к</w:t>
      </w:r>
      <w:r>
        <w:rPr>
          <w:lang w:val="ru-RU" w:eastAsia="ru-RU" w:bidi="ru-RU"/>
          <w:sz w:val="24"/>
          <w:szCs w:val="24"/>
          <w:w w:val="100"/>
          <w:spacing w:val="0"/>
          <w:color w:val="000000"/>
          <w:position w:val="0"/>
        </w:rPr>
        <w:t xml:space="preserve"> </w:t>
      </w:r>
      <w:r>
        <w:rPr>
          <w:rStyle w:val="CharStyle32"/>
        </w:rPr>
        <w:t>участникам закупки единым требованиям и дополнительным требованиям</w:t>
      </w: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both"/>
        <w:spacing w:before="0" w:after="0"/>
        <w:ind w:left="20" w:right="20" w:firstLine="580"/>
      </w:pPr>
      <w:r>
        <w:rPr>
          <w:rStyle w:val="CharStyle32"/>
        </w:rPr>
        <w:t>Согласно части 2 статьи 56.1 Закона о контрактной системе Заказчик</w:t>
      </w:r>
      <w:r>
        <w:rPr>
          <w:lang w:val="ru-RU" w:eastAsia="ru-RU" w:bidi="ru-RU"/>
          <w:sz w:val="24"/>
          <w:szCs w:val="24"/>
          <w:w w:val="100"/>
          <w:spacing w:val="0"/>
          <w:color w:val="000000"/>
          <w:position w:val="0"/>
        </w:rPr>
        <w:t xml:space="preserve"> </w:t>
      </w:r>
      <w:r>
        <w:rPr>
          <w:rStyle w:val="CharStyle32"/>
        </w:rPr>
        <w:t>осуществляет закупки путем проведения конкурса с ограниченным участием в</w:t>
      </w:r>
      <w:r>
        <w:rPr>
          <w:lang w:val="ru-RU" w:eastAsia="ru-RU" w:bidi="ru-RU"/>
          <w:sz w:val="24"/>
          <w:szCs w:val="24"/>
          <w:w w:val="100"/>
          <w:spacing w:val="0"/>
          <w:color w:val="000000"/>
          <w:position w:val="0"/>
        </w:rPr>
        <w:t xml:space="preserve"> </w:t>
      </w:r>
      <w:r>
        <w:rPr>
          <w:rStyle w:val="CharStyle32"/>
        </w:rPr>
        <w:t>электронной форме, в том числе в случае, если</w:t>
      </w:r>
      <w:r>
        <w:rPr>
          <w:lang w:val="ru-RU" w:eastAsia="ru-RU" w:bidi="ru-RU"/>
          <w:sz w:val="24"/>
          <w:szCs w:val="24"/>
          <w:w w:val="100"/>
          <w:spacing w:val="0"/>
          <w:color w:val="000000"/>
          <w:position w:val="0"/>
        </w:rPr>
        <w:t xml:space="preserve"> поставки товаров, выполнение</w:t>
      </w:r>
    </w:p>
    <w:p>
      <w:pPr>
        <w:pStyle w:val="Style3"/>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 xml:space="preserve">работ, </w:t>
      </w:r>
      <w:r>
        <w:rPr>
          <w:rStyle w:val="CharStyle32"/>
        </w:rPr>
        <w:t>оказание услуг по причине их</w:t>
      </w:r>
      <w:r>
        <w:rPr>
          <w:lang w:val="ru-RU" w:eastAsia="ru-RU" w:bidi="ru-RU"/>
          <w:sz w:val="24"/>
          <w:szCs w:val="24"/>
          <w:w w:val="100"/>
          <w:spacing w:val="0"/>
          <w:color w:val="000000"/>
          <w:position w:val="0"/>
        </w:rPr>
        <w:t xml:space="preserve"> технической и (или) технологической сложности, инновационного, высокотехнологичного или </w:t>
      </w:r>
      <w:r>
        <w:rPr>
          <w:rStyle w:val="CharStyle32"/>
        </w:rPr>
        <w:t>специализированного</w:t>
      </w:r>
      <w:r>
        <w:rPr>
          <w:lang w:val="ru-RU" w:eastAsia="ru-RU" w:bidi="ru-RU"/>
          <w:sz w:val="24"/>
          <w:szCs w:val="24"/>
          <w:w w:val="100"/>
          <w:spacing w:val="0"/>
          <w:color w:val="000000"/>
          <w:position w:val="0"/>
        </w:rPr>
        <w:t xml:space="preserve"> </w:t>
      </w:r>
      <w:r>
        <w:rPr>
          <w:rStyle w:val="CharStyle32"/>
        </w:rPr>
        <w:t>характера способны осуществить только</w:t>
      </w:r>
      <w:r>
        <w:rPr>
          <w:lang w:val="ru-RU" w:eastAsia="ru-RU" w:bidi="ru-RU"/>
          <w:sz w:val="24"/>
          <w:szCs w:val="24"/>
          <w:w w:val="100"/>
          <w:spacing w:val="0"/>
          <w:color w:val="000000"/>
          <w:position w:val="0"/>
        </w:rPr>
        <w:t xml:space="preserve"> поставщики (подрядчики, </w:t>
      </w:r>
      <w:r>
        <w:rPr>
          <w:rStyle w:val="CharStyle32"/>
        </w:rPr>
        <w:t>исполнители</w:t>
      </w:r>
      <w:r>
        <w:rPr>
          <w:lang w:val="ru-RU" w:eastAsia="ru-RU" w:bidi="ru-RU"/>
          <w:sz w:val="24"/>
          <w:szCs w:val="24"/>
          <w:w w:val="100"/>
          <w:spacing w:val="0"/>
          <w:color w:val="000000"/>
          <w:position w:val="0"/>
        </w:rPr>
        <w:t xml:space="preserve">), </w:t>
      </w:r>
      <w:r>
        <w:rPr>
          <w:rStyle w:val="CharStyle32"/>
        </w:rPr>
        <w:t>имеющие необходимый уровень квалификации</w:t>
      </w:r>
      <w:r>
        <w:rPr>
          <w:lang w:val="ru-RU" w:eastAsia="ru-RU" w:bidi="ru-RU"/>
          <w:sz w:val="24"/>
          <w:szCs w:val="24"/>
          <w:w w:val="100"/>
          <w:spacing w:val="0"/>
          <w:color w:val="000000"/>
          <w:position w:val="0"/>
        </w:rPr>
        <w:t xml:space="preserve">. </w:t>
      </w:r>
      <w:r>
        <w:rPr>
          <w:rStyle w:val="CharStyle33"/>
        </w:rPr>
        <w:t xml:space="preserve">Перечень случаев </w:t>
      </w:r>
      <w:r>
        <w:rPr>
          <w:lang w:val="ru-RU" w:eastAsia="ru-RU" w:bidi="ru-RU"/>
          <w:sz w:val="24"/>
          <w:szCs w:val="24"/>
          <w:w w:val="100"/>
          <w:spacing w:val="0"/>
          <w:color w:val="000000"/>
          <w:position w:val="0"/>
        </w:rPr>
        <w:t xml:space="preserve">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w:t>
      </w:r>
      <w:r>
        <w:rPr>
          <w:rStyle w:val="CharStyle33"/>
        </w:rPr>
        <w:t>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310" w:lineRule="exact"/>
        <w:ind w:left="20" w:right="20" w:firstLine="580"/>
      </w:pPr>
      <w:r>
        <w:rPr>
          <w:rStyle w:val="CharStyle33"/>
        </w:rPr>
        <w:t xml:space="preserve">Постановлением Правительства РФ от 04.02.2015 № 99 </w:t>
      </w:r>
      <w:r>
        <w:rPr>
          <w:lang w:val="ru-RU" w:eastAsia="ru-RU" w:bidi="ru-RU"/>
          <w:sz w:val="24"/>
          <w:szCs w:val="24"/>
          <w:w w:val="100"/>
          <w:spacing w:val="0"/>
          <w:color w:val="000000"/>
          <w:position w:val="0"/>
        </w:rPr>
        <w:t>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3"/>
        <w:tabs>
          <w:tab w:leader="none" w:pos="2123" w:val="left"/>
          <w:tab w:leader="none" w:pos="2699" w:val="left"/>
        </w:tabs>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 xml:space="preserve">Согласно пункту 6 Приложения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 к постановлению Правительства РФ от</w:t>
      </w:r>
    </w:p>
    <w:p>
      <w:pPr>
        <w:pStyle w:val="Style3"/>
        <w:numPr>
          <w:ilvl w:val="0"/>
          <w:numId w:val="7"/>
        </w:numPr>
        <w:tabs>
          <w:tab w:leader="none" w:pos="1545" w:val="left"/>
          <w:tab w:leader="none" w:pos="2121" w:val="left"/>
          <w:tab w:leader="none" w:pos="1546" w:val="left"/>
        </w:tabs>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w:t>
        <w:tab/>
        <w:t xml:space="preserve">99 </w:t>
      </w:r>
      <w:r>
        <w:rPr>
          <w:rStyle w:val="CharStyle33"/>
        </w:rPr>
        <w:t xml:space="preserve">дополнительные требования </w:t>
      </w:r>
      <w:r>
        <w:rPr>
          <w:lang w:val="ru-RU" w:eastAsia="ru-RU" w:bidi="ru-RU"/>
          <w:sz w:val="24"/>
          <w:szCs w:val="24"/>
          <w:w w:val="100"/>
          <w:spacing w:val="0"/>
          <w:color w:val="000000"/>
          <w:position w:val="0"/>
        </w:rPr>
        <w:t>к участникам закупки</w:t>
      </w:r>
    </w:p>
    <w:p>
      <w:pPr>
        <w:pStyle w:val="Style20"/>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 xml:space="preserve">устанавливаются </w:t>
      </w:r>
      <w:r>
        <w:rPr>
          <w:rStyle w:val="CharStyle34"/>
          <w:b w:val="0"/>
          <w:bCs w:val="0"/>
        </w:rPr>
        <w:t xml:space="preserve">при оказании услуг общественного питания и (или) поставки пищевых продуктов, </w:t>
      </w:r>
      <w:r>
        <w:rPr>
          <w:lang w:val="ru-RU" w:eastAsia="ru-RU" w:bidi="ru-RU"/>
          <w:sz w:val="24"/>
          <w:szCs w:val="24"/>
          <w:w w:val="100"/>
          <w:spacing w:val="0"/>
          <w:color w:val="000000"/>
          <w:position w:val="0"/>
        </w:rPr>
        <w:t xml:space="preserve">закупаемых для организаций, осуществляющих образовательную деятельность, </w:t>
      </w:r>
      <w:r>
        <w:rPr>
          <w:rStyle w:val="CharStyle35"/>
          <w:b/>
          <w:bCs/>
        </w:rPr>
        <w:t>медицинских организаций</w:t>
      </w:r>
      <w:r>
        <w:rPr>
          <w:lang w:val="ru-RU" w:eastAsia="ru-RU" w:bidi="ru-RU"/>
          <w:sz w:val="24"/>
          <w:szCs w:val="24"/>
          <w:w w:val="100"/>
          <w:spacing w:val="0"/>
          <w:color w:val="000000"/>
          <w:position w:val="0"/>
        </w:rPr>
        <w:t>, организаций социального обслуживания, организаций отдыха детей и их оздоровления в случае, если начальная (максимальная) цена контракта (цена лота) превышает 500000 рублей.</w:t>
      </w:r>
    </w:p>
    <w:p>
      <w:pPr>
        <w:pStyle w:val="Style3"/>
        <w:widowControl w:val="0"/>
        <w:keepNext w:val="0"/>
        <w:keepLines w:val="0"/>
        <w:shd w:val="clear" w:color="auto" w:fill="auto"/>
        <w:bidi w:val="0"/>
        <w:jc w:val="both"/>
        <w:spacing w:before="0" w:after="0" w:line="310" w:lineRule="exact"/>
        <w:ind w:left="20" w:right="20" w:firstLine="580"/>
      </w:pPr>
      <w:r>
        <w:rPr>
          <w:rStyle w:val="CharStyle32"/>
        </w:rPr>
        <w:t>К дополнительным требованиям</w:t>
      </w:r>
      <w:r>
        <w:rPr>
          <w:lang w:val="ru-RU" w:eastAsia="ru-RU" w:bidi="ru-RU"/>
          <w:sz w:val="24"/>
          <w:szCs w:val="24"/>
          <w:w w:val="100"/>
          <w:spacing w:val="0"/>
          <w:color w:val="000000"/>
          <w:position w:val="0"/>
        </w:rPr>
        <w:t xml:space="preserve"> относится </w:t>
      </w:r>
      <w:r>
        <w:rPr>
          <w:rStyle w:val="CharStyle33"/>
        </w:rPr>
        <w:t xml:space="preserve">наличие опыта исполнения контракта (договора) </w:t>
      </w:r>
      <w:r>
        <w:rPr>
          <w:lang w:val="ru-RU" w:eastAsia="ru-RU" w:bidi="ru-RU"/>
          <w:sz w:val="24"/>
          <w:szCs w:val="24"/>
          <w:w w:val="100"/>
          <w:spacing w:val="0"/>
          <w:color w:val="000000"/>
          <w:position w:val="0"/>
        </w:rPr>
        <w:t>на оказание услуг общественного питания и (или) поставки пищевых продуктов, заключенного в соответствии с Законом № 44-ФЗ, Законом № 222-ФЗ,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цены контракта (договора), на право заключить который проводится конкурс.</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В соответствии с пунктом 5 статьи 56.1 Закона о контрактной системе 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Федерального закона о контрактной системе, предъявляются дополнительные требования, установленные в соответствии с частью 2 статьи 31</w:t>
      </w:r>
    </w:p>
    <w:p>
      <w:pPr>
        <w:pStyle w:val="Style3"/>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 xml:space="preserve">Закона № 44 ФЗ. </w:t>
      </w:r>
      <w:r>
        <w:rPr>
          <w:rStyle w:val="CharStyle32"/>
        </w:rPr>
        <w:t xml:space="preserve">При этом </w:t>
      </w:r>
      <w:r>
        <w:rPr>
          <w:rStyle w:val="CharStyle36"/>
        </w:rPr>
        <w:t>дополнительные требования не могут</w:t>
      </w:r>
      <w:r>
        <w:rPr>
          <w:rStyle w:val="CharStyle33"/>
        </w:rPr>
        <w:t xml:space="preserve"> </w:t>
      </w:r>
      <w:r>
        <w:rPr>
          <w:rStyle w:val="CharStyle36"/>
        </w:rPr>
        <w:t xml:space="preserve">использоваться в качестве критерия оценки заявок </w:t>
      </w:r>
      <w:r>
        <w:rPr>
          <w:rStyle w:val="CharStyle32"/>
        </w:rPr>
        <w:t>на участие в конкурсе с</w:t>
      </w:r>
      <w:r>
        <w:rPr>
          <w:lang w:val="ru-RU" w:eastAsia="ru-RU" w:bidi="ru-RU"/>
          <w:sz w:val="24"/>
          <w:szCs w:val="24"/>
          <w:w w:val="100"/>
          <w:spacing w:val="0"/>
          <w:color w:val="000000"/>
          <w:position w:val="0"/>
        </w:rPr>
        <w:t xml:space="preserve"> </w:t>
      </w:r>
      <w:r>
        <w:rPr>
          <w:rStyle w:val="CharStyle32"/>
        </w:rPr>
        <w:t>ограниченным участием в электронной форме.</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Таким образом, Постановление Правительства РФ от 04.02.2015 года № 99 определяет дополнительные требования к участникам закупки, но не устанавливает критерии оценки заявок участников.</w:t>
      </w:r>
    </w:p>
    <w:p>
      <w:pPr>
        <w:pStyle w:val="Style20"/>
        <w:widowControl w:val="0"/>
        <w:keepNext w:val="0"/>
        <w:keepLines w:val="0"/>
        <w:shd w:val="clear" w:color="auto" w:fill="auto"/>
        <w:bidi w:val="0"/>
        <w:jc w:val="both"/>
        <w:spacing w:before="0" w:after="0" w:line="310" w:lineRule="exact"/>
        <w:ind w:left="20" w:right="20" w:firstLine="560"/>
      </w:pPr>
      <w:r>
        <w:rPr>
          <w:rStyle w:val="CharStyle35"/>
          <w:b/>
          <w:bCs/>
        </w:rPr>
        <w:t>Комиссия Карельского УФАС России в части применения требований</w:t>
      </w:r>
      <w:r>
        <w:rPr>
          <w:lang w:val="ru-RU" w:eastAsia="ru-RU" w:bidi="ru-RU"/>
          <w:sz w:val="24"/>
          <w:szCs w:val="24"/>
          <w:w w:val="100"/>
          <w:spacing w:val="0"/>
          <w:color w:val="000000"/>
          <w:position w:val="0"/>
        </w:rPr>
        <w:t xml:space="preserve"> </w:t>
      </w:r>
      <w:r>
        <w:rPr>
          <w:rStyle w:val="CharStyle35"/>
          <w:b/>
          <w:bCs/>
        </w:rPr>
        <w:t>Постановления Правительства РФ от 04.02.2015 № 99 к данной закупке</w:t>
      </w:r>
      <w:r>
        <w:rPr>
          <w:lang w:val="ru-RU" w:eastAsia="ru-RU" w:bidi="ru-RU"/>
          <w:sz w:val="24"/>
          <w:szCs w:val="24"/>
          <w:w w:val="100"/>
          <w:spacing w:val="0"/>
          <w:color w:val="000000"/>
          <w:position w:val="0"/>
        </w:rPr>
        <w:t xml:space="preserve"> </w:t>
      </w:r>
      <w:r>
        <w:rPr>
          <w:rStyle w:val="CharStyle35"/>
          <w:b/>
          <w:bCs/>
        </w:rPr>
        <w:t>нарушений в т.ч. положений ограничивающий количество участников со</w:t>
      </w:r>
      <w:r>
        <w:rPr>
          <w:lang w:val="ru-RU" w:eastAsia="ru-RU" w:bidi="ru-RU"/>
          <w:sz w:val="24"/>
          <w:szCs w:val="24"/>
          <w:w w:val="100"/>
          <w:spacing w:val="0"/>
          <w:color w:val="000000"/>
          <w:position w:val="0"/>
        </w:rPr>
        <w:t xml:space="preserve"> </w:t>
      </w:r>
      <w:r>
        <w:rPr>
          <w:rStyle w:val="CharStyle35"/>
          <w:b/>
          <w:bCs/>
        </w:rPr>
        <w:t>стороны Заказчика, не установлено.</w:t>
      </w:r>
    </w:p>
    <w:p>
      <w:pPr>
        <w:pStyle w:val="Style3"/>
        <w:widowControl w:val="0"/>
        <w:keepNext w:val="0"/>
        <w:keepLines w:val="0"/>
        <w:shd w:val="clear" w:color="auto" w:fill="auto"/>
        <w:bidi w:val="0"/>
        <w:jc w:val="both"/>
        <w:spacing w:before="0" w:after="0" w:line="310" w:lineRule="exact"/>
        <w:ind w:left="20" w:right="20" w:firstLine="560"/>
      </w:pPr>
      <w:r>
        <w:rPr>
          <w:rStyle w:val="CharStyle32"/>
        </w:rPr>
        <w:t>Порядок оценки заявок</w:t>
      </w:r>
      <w:r>
        <w:rPr>
          <w:lang w:val="ru-RU" w:eastAsia="ru-RU" w:bidi="ru-RU"/>
          <w:sz w:val="24"/>
          <w:szCs w:val="24"/>
          <w:w w:val="100"/>
          <w:spacing w:val="0"/>
          <w:color w:val="000000"/>
          <w:position w:val="0"/>
        </w:rPr>
        <w:t xml:space="preserve">, окончательных предложений участников закупки, в том числе предельные величины значимости каждого критерия </w:t>
      </w:r>
      <w:r>
        <w:rPr>
          <w:rStyle w:val="CharStyle32"/>
        </w:rPr>
        <w:t>устанавливаются</w:t>
      </w:r>
      <w:r>
        <w:rPr>
          <w:lang w:val="ru-RU" w:eastAsia="ru-RU" w:bidi="ru-RU"/>
          <w:sz w:val="24"/>
          <w:szCs w:val="24"/>
          <w:w w:val="100"/>
          <w:spacing w:val="0"/>
          <w:color w:val="000000"/>
          <w:position w:val="0"/>
        </w:rPr>
        <w:t xml:space="preserve"> в соответствии с частью 8 статьи 32 Закона № 44-ФЗ, </w:t>
      </w:r>
      <w:r>
        <w:rPr>
          <w:rStyle w:val="CharStyle32"/>
        </w:rPr>
        <w:t>Постановлением Правительства</w:t>
      </w:r>
      <w:r>
        <w:rPr>
          <w:lang w:val="ru-RU" w:eastAsia="ru-RU" w:bidi="ru-RU"/>
          <w:sz w:val="24"/>
          <w:szCs w:val="24"/>
          <w:w w:val="100"/>
          <w:spacing w:val="0"/>
          <w:color w:val="000000"/>
          <w:position w:val="0"/>
        </w:rPr>
        <w:t xml:space="preserve"> </w:t>
      </w:r>
      <w:r>
        <w:rPr>
          <w:rStyle w:val="CharStyle32"/>
        </w:rPr>
        <w:t>РФ от 28.11.2013 № 1085.</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или сумма цен единиц товара, работы, услуги".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Сумма величин значимости критериев оценки, применяемых заказчиком, должна составлять 100 процентов.</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В документации о закупке </w:t>
      </w:r>
      <w:r>
        <w:rPr>
          <w:rStyle w:val="CharStyle32"/>
        </w:rPr>
        <w:t>в отношении нестоимостных критериев оценки</w:t>
      </w:r>
      <w:r>
        <w:rPr>
          <w:lang w:val="ru-RU" w:eastAsia="ru-RU" w:bidi="ru-RU"/>
          <w:sz w:val="24"/>
          <w:szCs w:val="24"/>
          <w:w w:val="100"/>
          <w:spacing w:val="0"/>
          <w:color w:val="000000"/>
          <w:position w:val="0"/>
        </w:rPr>
        <w:t xml:space="preserve"> </w:t>
      </w:r>
      <w:r>
        <w:rPr>
          <w:rStyle w:val="CharStyle32"/>
        </w:rPr>
        <w:t xml:space="preserve">могут быть предусмотрены показатели. </w:t>
      </w:r>
      <w:r>
        <w:rPr>
          <w:rStyle w:val="CharStyle36"/>
        </w:rPr>
        <w:t>раскрывающие содержание</w:t>
      </w:r>
      <w:r>
        <w:rPr>
          <w:rStyle w:val="CharStyle33"/>
        </w:rPr>
        <w:t xml:space="preserve"> </w:t>
      </w:r>
      <w:r>
        <w:rPr>
          <w:rStyle w:val="CharStyle36"/>
        </w:rPr>
        <w:t>нестоимостных критериев оценки и учитывающие особенности оценки</w:t>
      </w:r>
      <w:r>
        <w:rPr>
          <w:rStyle w:val="CharStyle33"/>
        </w:rPr>
        <w:t xml:space="preserve"> </w:t>
      </w:r>
      <w:r>
        <w:rPr>
          <w:rStyle w:val="CharStyle36"/>
        </w:rPr>
        <w:t>закупаемых</w:t>
      </w:r>
      <w:r>
        <w:rPr>
          <w:rStyle w:val="CharStyle33"/>
        </w:rPr>
        <w:t xml:space="preserve"> </w:t>
      </w:r>
      <w:r>
        <w:rPr>
          <w:lang w:val="ru-RU" w:eastAsia="ru-RU" w:bidi="ru-RU"/>
          <w:sz w:val="24"/>
          <w:szCs w:val="24"/>
          <w:w w:val="100"/>
          <w:spacing w:val="0"/>
          <w:color w:val="000000"/>
          <w:position w:val="0"/>
        </w:rPr>
        <w:t xml:space="preserve">товаров, работ, </w:t>
      </w:r>
      <w:r>
        <w:rPr>
          <w:rStyle w:val="CharStyle36"/>
        </w:rPr>
        <w:t>услуг</w:t>
      </w:r>
      <w:r>
        <w:rPr>
          <w:rStyle w:val="CharStyle33"/>
        </w:rPr>
        <w:t xml:space="preserve"> </w:t>
      </w:r>
      <w:r>
        <w:rPr>
          <w:lang w:val="ru-RU" w:eastAsia="ru-RU" w:bidi="ru-RU"/>
          <w:sz w:val="24"/>
          <w:szCs w:val="24"/>
          <w:w w:val="100"/>
          <w:spacing w:val="0"/>
          <w:color w:val="000000"/>
          <w:position w:val="0"/>
        </w:rPr>
        <w:t>по нестоимостных критериям оценки.</w:t>
      </w:r>
    </w:p>
    <w:p>
      <w:pPr>
        <w:pStyle w:val="Style3"/>
        <w:widowControl w:val="0"/>
        <w:keepNext w:val="0"/>
        <w:keepLines w:val="0"/>
        <w:shd w:val="clear" w:color="auto" w:fill="auto"/>
        <w:bidi w:val="0"/>
        <w:jc w:val="both"/>
        <w:spacing w:before="0" w:after="0" w:line="310" w:lineRule="exact"/>
        <w:ind w:left="20" w:right="20" w:firstLine="560"/>
      </w:pPr>
      <w:r>
        <w:rPr>
          <w:rStyle w:val="CharStyle32"/>
        </w:rPr>
        <w:t>Показателями нестоимостного критерия оценки</w:t>
      </w: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w:t>
      </w:r>
      <w:r>
        <w:rPr>
          <w:rStyle w:val="CharStyle32"/>
        </w:rPr>
        <w:t>опыта работы, связанного с предметом контракта</w:t>
      </w:r>
      <w:r>
        <w:rPr>
          <w:lang w:val="ru-RU" w:eastAsia="ru-RU" w:bidi="ru-RU"/>
          <w:sz w:val="24"/>
          <w:szCs w:val="24"/>
          <w:w w:val="100"/>
          <w:spacing w:val="0"/>
          <w:color w:val="000000"/>
          <w:position w:val="0"/>
        </w:rPr>
        <w:t xml:space="preserve">, и деловой репутации, специалистов и иных работников определенного уровня квалификации" </w:t>
      </w:r>
      <w:r>
        <w:rPr>
          <w:rStyle w:val="CharStyle32"/>
        </w:rPr>
        <w:t>могут быть следующие показатели</w:t>
      </w:r>
      <w:r>
        <w:rPr>
          <w:lang w:val="ru-RU" w:eastAsia="ru-RU" w:bidi="ru-RU"/>
          <w:sz w:val="24"/>
          <w:szCs w:val="24"/>
          <w:w w:val="100"/>
          <w:spacing w:val="0"/>
          <w:color w:val="000000"/>
          <w:position w:val="0"/>
        </w:rPr>
        <w:t xml:space="preserve"> (с учетом особенностей, предусмотренных пунктом 27(1) Правил оценки заявок):</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20"/>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б) </w:t>
      </w:r>
      <w:r>
        <w:rPr>
          <w:rStyle w:val="CharStyle35"/>
          <w:b/>
          <w:bCs/>
        </w:rPr>
        <w:t>опыт участника по успешной поставке товара, выполнению работ,</w:t>
      </w:r>
      <w:r>
        <w:rPr>
          <w:lang w:val="ru-RU" w:eastAsia="ru-RU" w:bidi="ru-RU"/>
          <w:sz w:val="24"/>
          <w:szCs w:val="24"/>
          <w:w w:val="100"/>
          <w:spacing w:val="0"/>
          <w:color w:val="000000"/>
          <w:position w:val="0"/>
        </w:rPr>
        <w:t xml:space="preserve"> </w:t>
      </w:r>
      <w:r>
        <w:rPr>
          <w:rStyle w:val="CharStyle35"/>
          <w:b/>
          <w:bCs/>
        </w:rPr>
        <w:t>оказанию услуг сопоставимого характера и объема</w:t>
      </w: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3"/>
        <w:widowControl w:val="0"/>
        <w:keepNext w:val="0"/>
        <w:keepLines w:val="0"/>
        <w:shd w:val="clear" w:color="auto" w:fill="auto"/>
        <w:bidi w:val="0"/>
        <w:jc w:val="both"/>
        <w:spacing w:before="0" w:after="0" w:line="310" w:lineRule="exact"/>
        <w:ind w:left="20" w:right="0" w:firstLine="560"/>
      </w:pPr>
      <w:r>
        <w:rPr>
          <w:lang w:val="ru-RU" w:eastAsia="ru-RU" w:bidi="ru-RU"/>
          <w:sz w:val="24"/>
          <w:szCs w:val="24"/>
          <w:w w:val="100"/>
          <w:spacing w:val="0"/>
          <w:color w:val="000000"/>
          <w:position w:val="0"/>
        </w:rPr>
        <w:t>г) обеспеченность участника закупки трудовыми ресурсами;</w:t>
      </w:r>
    </w:p>
    <w:p>
      <w:pPr>
        <w:pStyle w:val="Style3"/>
        <w:widowControl w:val="0"/>
        <w:keepNext w:val="0"/>
        <w:keepLines w:val="0"/>
        <w:shd w:val="clear" w:color="auto" w:fill="auto"/>
        <w:bidi w:val="0"/>
        <w:jc w:val="both"/>
        <w:spacing w:before="0" w:after="0" w:line="310" w:lineRule="exact"/>
        <w:ind w:left="20" w:right="0" w:firstLine="560"/>
      </w:pPr>
      <w:r>
        <w:rPr>
          <w:lang w:val="ru-RU" w:eastAsia="ru-RU" w:bidi="ru-RU"/>
          <w:sz w:val="24"/>
          <w:szCs w:val="24"/>
          <w:w w:val="100"/>
          <w:spacing w:val="0"/>
          <w:color w:val="000000"/>
          <w:position w:val="0"/>
        </w:rPr>
        <w:t>д) деловая репутация участника закупки.</w:t>
      </w:r>
    </w:p>
    <w:p>
      <w:pPr>
        <w:pStyle w:val="Style20"/>
        <w:widowControl w:val="0"/>
        <w:keepNext w:val="0"/>
        <w:keepLines w:val="0"/>
        <w:shd w:val="clear" w:color="auto" w:fill="auto"/>
        <w:bidi w:val="0"/>
        <w:jc w:val="both"/>
        <w:spacing w:before="0" w:after="0" w:line="324" w:lineRule="exact"/>
        <w:ind w:left="40" w:right="20" w:firstLine="560"/>
      </w:pPr>
      <w:r>
        <w:rPr>
          <w:lang w:val="ru-RU" w:eastAsia="ru-RU" w:bidi="ru-RU"/>
          <w:sz w:val="24"/>
          <w:szCs w:val="24"/>
          <w:w w:val="100"/>
          <w:spacing w:val="0"/>
          <w:color w:val="000000"/>
          <w:position w:val="0"/>
        </w:rPr>
        <w:t>В части доводов жалобы Заявителя Комиссия Карельского УФАС России установила следующее:</w:t>
      </w:r>
    </w:p>
    <w:p>
      <w:pPr>
        <w:pStyle w:val="Style3"/>
        <w:widowControl w:val="0"/>
        <w:keepNext w:val="0"/>
        <w:keepLines w:val="0"/>
        <w:shd w:val="clear" w:color="auto" w:fill="auto"/>
        <w:bidi w:val="0"/>
        <w:jc w:val="both"/>
        <w:spacing w:before="0" w:after="120"/>
        <w:ind w:left="40" w:right="20" w:firstLine="700"/>
      </w:pPr>
      <w:r>
        <w:rPr>
          <w:lang w:val="ru-RU" w:eastAsia="ru-RU" w:bidi="ru-RU"/>
          <w:sz w:val="24"/>
          <w:szCs w:val="24"/>
          <w:w w:val="100"/>
          <w:spacing w:val="0"/>
          <w:color w:val="000000"/>
          <w:position w:val="0"/>
        </w:rPr>
        <w:t xml:space="preserve">В соответствии с </w:t>
      </w:r>
      <w:r>
        <w:rPr>
          <w:rStyle w:val="CharStyle32"/>
        </w:rPr>
        <w:t>частью 8 статьи 32</w:t>
      </w:r>
      <w:r>
        <w:rPr>
          <w:lang w:val="ru-RU" w:eastAsia="ru-RU" w:bidi="ru-RU"/>
          <w:sz w:val="24"/>
          <w:szCs w:val="24"/>
          <w:w w:val="100"/>
          <w:spacing w:val="0"/>
          <w:color w:val="000000"/>
          <w:position w:val="0"/>
        </w:rPr>
        <w:t xml:space="preserve">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w:t>
      </w:r>
      <w:r>
        <w:rPr>
          <w:rStyle w:val="CharStyle32"/>
        </w:rPr>
        <w:t>Постановлением</w:t>
      </w:r>
      <w:r>
        <w:rPr>
          <w:lang w:val="ru-RU" w:eastAsia="ru-RU" w:bidi="ru-RU"/>
          <w:sz w:val="24"/>
          <w:szCs w:val="24"/>
          <w:w w:val="100"/>
          <w:spacing w:val="0"/>
          <w:color w:val="000000"/>
          <w:position w:val="0"/>
        </w:rPr>
        <w:t xml:space="preserve">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both"/>
        <w:spacing w:before="0" w:after="0"/>
        <w:ind w:left="40" w:right="20" w:firstLine="560"/>
      </w:pPr>
      <w:r>
        <w:rPr>
          <w:lang w:val="ru-RU" w:eastAsia="ru-RU" w:bidi="ru-RU"/>
          <w:sz w:val="24"/>
          <w:szCs w:val="24"/>
          <w:w w:val="100"/>
          <w:spacing w:val="0"/>
          <w:color w:val="000000"/>
          <w:position w:val="0"/>
        </w:rPr>
        <w:t xml:space="preserve">При этом согласно </w:t>
      </w:r>
      <w:r>
        <w:rPr>
          <w:rStyle w:val="CharStyle32"/>
        </w:rPr>
        <w:t>пункту 3</w:t>
      </w:r>
      <w:r>
        <w:rPr>
          <w:lang w:val="ru-RU" w:eastAsia="ru-RU" w:bidi="ru-RU"/>
          <w:sz w:val="24"/>
          <w:szCs w:val="24"/>
          <w:w w:val="100"/>
          <w:spacing w:val="0"/>
          <w:color w:val="000000"/>
          <w:position w:val="0"/>
        </w:rPr>
        <w:t xml:space="preserve">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w:t>
      </w:r>
      <w:r>
        <w:rPr>
          <w:rStyle w:val="CharStyle32"/>
        </w:rPr>
        <w:t>Правил</w:t>
      </w:r>
      <w:r>
        <w:rPr>
          <w:lang w:val="ru-RU" w:eastAsia="ru-RU" w:bidi="ru-RU"/>
          <w:sz w:val="24"/>
          <w:szCs w:val="24"/>
          <w:w w:val="100"/>
          <w:spacing w:val="0"/>
          <w:color w:val="000000"/>
          <w:position w:val="0"/>
        </w:rPr>
        <w:t>, лучших условий исполнения контракта, указанных в заявках (предложениях) участников закупки, которые не были отклонены.</w:t>
      </w:r>
    </w:p>
    <w:p>
      <w:pPr>
        <w:pStyle w:val="Style20"/>
        <w:widowControl w:val="0"/>
        <w:keepNext w:val="0"/>
        <w:keepLines w:val="0"/>
        <w:shd w:val="clear" w:color="auto" w:fill="auto"/>
        <w:bidi w:val="0"/>
        <w:jc w:val="both"/>
        <w:spacing w:before="0" w:after="0" w:line="310" w:lineRule="exact"/>
        <w:ind w:left="40" w:right="20" w:firstLine="560"/>
      </w:pPr>
      <w:r>
        <w:rPr>
          <w:rStyle w:val="CharStyle34"/>
          <w:b w:val="0"/>
          <w:bCs w:val="0"/>
        </w:rPr>
        <w:t xml:space="preserve">Пунктом 10 Правил установлено, что в документации о закупке в отношении нестоимостных критериев оценки могут быть предусмотрены показатели, </w:t>
      </w:r>
      <w:r>
        <w:rPr>
          <w:lang w:val="ru-RU" w:eastAsia="ru-RU" w:bidi="ru-RU"/>
          <w:sz w:val="24"/>
          <w:szCs w:val="24"/>
          <w:w w:val="100"/>
          <w:spacing w:val="0"/>
          <w:color w:val="000000"/>
          <w:position w:val="0"/>
        </w:rPr>
        <w:t>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310" w:lineRule="exact"/>
        <w:ind w:left="40" w:right="20" w:firstLine="560"/>
      </w:pPr>
      <w:r>
        <w:rPr>
          <w:lang w:val="ru-RU" w:eastAsia="ru-RU" w:bidi="ru-RU"/>
          <w:sz w:val="24"/>
          <w:szCs w:val="24"/>
          <w:w w:val="100"/>
          <w:spacing w:val="0"/>
          <w:color w:val="000000"/>
          <w:position w:val="0"/>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3"/>
        <w:widowControl w:val="0"/>
        <w:keepNext w:val="0"/>
        <w:keepLines w:val="0"/>
        <w:shd w:val="clear" w:color="auto" w:fill="auto"/>
        <w:bidi w:val="0"/>
        <w:jc w:val="both"/>
        <w:spacing w:before="0" w:after="0" w:line="310" w:lineRule="exact"/>
        <w:ind w:left="40" w:right="20" w:firstLine="560"/>
      </w:pPr>
      <w:r>
        <w:rPr>
          <w:lang w:val="ru-RU" w:eastAsia="ru-RU" w:bidi="ru-RU"/>
          <w:sz w:val="24"/>
          <w:szCs w:val="24"/>
          <w:w w:val="100"/>
          <w:spacing w:val="0"/>
          <w:color w:val="000000"/>
          <w:position w:val="0"/>
        </w:rPr>
        <w:t>Оценка заявок (предложений)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настоящих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настоящих Правил (п. 28 Правил).</w:t>
      </w:r>
    </w:p>
    <w:p>
      <w:pPr>
        <w:pStyle w:val="Style3"/>
        <w:widowControl w:val="0"/>
        <w:keepNext w:val="0"/>
        <w:keepLines w:val="0"/>
        <w:shd w:val="clear" w:color="auto" w:fill="auto"/>
        <w:bidi w:val="0"/>
        <w:jc w:val="both"/>
        <w:spacing w:before="0" w:after="0" w:line="310" w:lineRule="exact"/>
        <w:ind w:left="40" w:right="20" w:firstLine="560"/>
      </w:pPr>
      <w:r>
        <w:rPr>
          <w:lang w:val="ru-RU" w:eastAsia="ru-RU" w:bidi="ru-RU"/>
          <w:sz w:val="24"/>
          <w:szCs w:val="24"/>
          <w:w w:val="100"/>
          <w:spacing w:val="0"/>
          <w:color w:val="000000"/>
          <w:position w:val="0"/>
        </w:rPr>
        <w:t>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w:t>
      </w:r>
    </w:p>
    <w:p>
      <w:pPr>
        <w:pStyle w:val="Style3"/>
        <w:widowControl w:val="0"/>
        <w:keepNext w:val="0"/>
        <w:keepLines w:val="0"/>
        <w:shd w:val="clear" w:color="auto" w:fill="auto"/>
        <w:bidi w:val="0"/>
        <w:jc w:val="both"/>
        <w:spacing w:before="0" w:after="0" w:line="310" w:lineRule="exact"/>
        <w:ind w:left="40" w:right="20" w:firstLine="560"/>
      </w:pPr>
      <w:r>
        <w:rPr>
          <w:lang w:val="ru-RU" w:eastAsia="ru-RU" w:bidi="ru-RU"/>
          <w:sz w:val="24"/>
          <w:szCs w:val="24"/>
          <w:w w:val="100"/>
          <w:spacing w:val="0"/>
          <w:color w:val="000000"/>
          <w:position w:val="0"/>
        </w:rPr>
        <w:t>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 (п. 29 Правил).</w:t>
      </w:r>
    </w:p>
    <w:p>
      <w:pPr>
        <w:pStyle w:val="Style37"/>
        <w:framePr w:w="9788" w:wrap="notBeside" w:vAnchor="text" w:hAnchor="text" w:xAlign="center" w:y="1"/>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Заказчик для начисления баллов по данному показателю установил в конкурсной документации следующую форму предоставления Участниками сведений по опыту работы:</w:t>
      </w:r>
    </w:p>
    <w:tbl>
      <w:tblPr>
        <w:tblOverlap w:val="never"/>
        <w:tblLayout w:type="fixed"/>
        <w:jc w:val="center"/>
      </w:tblPr>
      <w:tblGrid>
        <w:gridCol w:w="479"/>
        <w:gridCol w:w="2898"/>
        <w:gridCol w:w="3546"/>
        <w:gridCol w:w="2866"/>
      </w:tblGrid>
      <w:tr>
        <w:trPr>
          <w:trHeight w:val="1120" w:hRule="exact"/>
        </w:trPr>
        <w:tc>
          <w:tcPr>
            <w:shd w:val="clear" w:color="auto" w:fill="FFFFFF"/>
            <w:tcBorders>
              <w:left w:val="single" w:sz="4"/>
              <w:top w:val="single" w:sz="4"/>
            </w:tcBorders>
            <w:vAlign w:val="top"/>
          </w:tcPr>
          <w:p>
            <w:pPr>
              <w:pStyle w:val="Style3"/>
              <w:framePr w:w="978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w:t>
            </w:r>
          </w:p>
          <w:p>
            <w:pPr>
              <w:pStyle w:val="Style3"/>
              <w:framePr w:w="978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п/</w:t>
            </w:r>
          </w:p>
          <w:p>
            <w:pPr>
              <w:pStyle w:val="Style3"/>
              <w:framePr w:w="978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п</w:t>
            </w:r>
          </w:p>
        </w:tc>
        <w:tc>
          <w:tcPr>
            <w:shd w:val="clear" w:color="auto" w:fill="FFFFFF"/>
            <w:tcBorders>
              <w:left w:val="single" w:sz="4"/>
              <w:top w:val="single" w:sz="4"/>
            </w:tcBorders>
            <w:vAlign w:val="bottom"/>
          </w:tcPr>
          <w:p>
            <w:pPr>
              <w:pStyle w:val="Style3"/>
              <w:framePr w:w="978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Реестровый номер соответствующего исполненного контракта (договора)</w:t>
            </w:r>
          </w:p>
        </w:tc>
        <w:tc>
          <w:tcPr>
            <w:shd w:val="clear" w:color="auto" w:fill="FFFFFF"/>
            <w:tcBorders>
              <w:left w:val="single" w:sz="4"/>
              <w:top w:val="single" w:sz="4"/>
            </w:tcBorders>
            <w:vAlign w:val="bottom"/>
          </w:tcPr>
          <w:p>
            <w:pPr>
              <w:pStyle w:val="Style3"/>
              <w:framePr w:w="978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39"/>
              </w:rPr>
              <w:t>Стоимость оказания услуг на одного человека в день по соответствующему контракту (договору)</w:t>
            </w:r>
          </w:p>
        </w:tc>
        <w:tc>
          <w:tcPr>
            <w:shd w:val="clear" w:color="auto" w:fill="FFFFFF"/>
            <w:tcBorders>
              <w:left w:val="single" w:sz="4"/>
              <w:right w:val="single" w:sz="4"/>
              <w:top w:val="single" w:sz="4"/>
            </w:tcBorders>
            <w:vAlign w:val="bottom"/>
          </w:tcPr>
          <w:p>
            <w:pPr>
              <w:pStyle w:val="Style3"/>
              <w:framePr w:w="978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Объем оказанных услуг в человеко-днях по соответствующему контракту(договору)</w:t>
            </w:r>
          </w:p>
        </w:tc>
      </w:tr>
      <w:tr>
        <w:trPr>
          <w:trHeight w:val="302" w:hRule="exact"/>
        </w:trPr>
        <w:tc>
          <w:tcPr>
            <w:shd w:val="clear" w:color="auto" w:fill="FFFFFF"/>
            <w:tcBorders>
              <w:left w:val="single" w:sz="4"/>
              <w:top w:val="single" w:sz="4"/>
              <w:bottom w:val="single" w:sz="4"/>
            </w:tcBorders>
            <w:vAlign w:val="top"/>
          </w:tcPr>
          <w:p>
            <w:pPr>
              <w:framePr w:w="978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78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78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788" w:wrap="notBeside" w:vAnchor="text" w:hAnchor="text" w:xAlign="center" w:y="1"/>
              <w:widowControl w:val="0"/>
              <w:rPr>
                <w:sz w:val="10"/>
                <w:szCs w:val="10"/>
              </w:rPr>
            </w:pPr>
          </w:p>
        </w:tc>
      </w:tr>
    </w:tbl>
    <w:p>
      <w:pPr>
        <w:widowControl w:val="0"/>
        <w:rPr>
          <w:sz w:val="2"/>
          <w:szCs w:val="2"/>
        </w:rPr>
      </w:pPr>
    </w:p>
    <w:p>
      <w:pPr>
        <w:pStyle w:val="Style3"/>
        <w:widowControl w:val="0"/>
        <w:keepNext w:val="0"/>
        <w:keepLines w:val="0"/>
        <w:shd w:val="clear" w:color="auto" w:fill="auto"/>
        <w:bidi w:val="0"/>
        <w:jc w:val="both"/>
        <w:spacing w:before="246" w:after="0" w:line="310" w:lineRule="exact"/>
        <w:ind w:left="120" w:right="20" w:firstLine="580"/>
      </w:pPr>
      <w:r>
        <w:rPr>
          <w:lang w:val="ru-RU" w:eastAsia="ru-RU" w:bidi="ru-RU"/>
          <w:sz w:val="24"/>
          <w:szCs w:val="24"/>
          <w:w w:val="100"/>
          <w:spacing w:val="0"/>
          <w:color w:val="000000"/>
          <w:position w:val="0"/>
        </w:rPr>
        <w:t xml:space="preserve">С учетом того, что Заказчик сформулировал нестоимостной критерий оценки Опыт работы (показатель) </w:t>
      </w:r>
      <w:r>
        <w:rPr>
          <w:lang w:val="en-US" w:eastAsia="en-US" w:bidi="en-US"/>
          <w:sz w:val="24"/>
          <w:szCs w:val="24"/>
          <w:w w:val="100"/>
          <w:spacing w:val="0"/>
          <w:color w:val="000000"/>
          <w:position w:val="0"/>
        </w:rPr>
        <w:t xml:space="preserve">(lHLfEi), </w:t>
      </w:r>
      <w:r>
        <w:rPr>
          <w:lang w:val="ru-RU" w:eastAsia="ru-RU" w:bidi="ru-RU"/>
          <w:sz w:val="24"/>
          <w:szCs w:val="24"/>
          <w:w w:val="100"/>
          <w:spacing w:val="0"/>
          <w:color w:val="000000"/>
          <w:position w:val="0"/>
        </w:rPr>
        <w:t>выраженный в общем объеме оказанных услуг, выраженный в человеко-днях, по результатам исполненных без пеней, штрафов государственных, муниципальных контрактов, договоров с учреждениями здравоохранения на оказание услуг по организации питания, заключенных по результатам открытых конкурсов (в том числе в электронной форме), конкурсов с ограниченным участием (в том числе в электронной форме), аукционов в электронной форме, запросов котировок (в том числе в электронной форме), запросов предложений (в том числе в электронной форме) в соответствии с положениями Федерального закона от 05.04.2013г. №44-ФЗ «О контрактной системе в сфере закупок товаров, работ, услуг для обеспечения государственных и муниципальных нужд» или Федерального закона от 18.07.2011г. №223-Ф3 «О закупках товаров, работ, услуг отдельными видами юридических лиц». В котором, значение показателя, предлагаемое участником конкурса, подтверждается:</w:t>
      </w:r>
    </w:p>
    <w:p>
      <w:pPr>
        <w:pStyle w:val="Style3"/>
        <w:numPr>
          <w:ilvl w:val="0"/>
          <w:numId w:val="9"/>
        </w:numPr>
        <w:widowControl w:val="0"/>
        <w:keepNext w:val="0"/>
        <w:keepLines w:val="0"/>
        <w:shd w:val="clear" w:color="auto" w:fill="auto"/>
        <w:bidi w:val="0"/>
        <w:jc w:val="both"/>
        <w:spacing w:before="0" w:after="0" w:line="310" w:lineRule="exact"/>
        <w:ind w:left="120" w:right="20" w:firstLine="580"/>
      </w:pPr>
      <w:r>
        <w:rPr>
          <w:lang w:val="ru-RU" w:eastAsia="ru-RU" w:bidi="ru-RU"/>
          <w:sz w:val="24"/>
          <w:szCs w:val="24"/>
          <w:w w:val="100"/>
          <w:spacing w:val="0"/>
          <w:color w:val="000000"/>
          <w:position w:val="0"/>
        </w:rPr>
        <w:t xml:space="preserve"> указанием реестрового номера соответствующего исполненного государственного или муниципального контракта, договора с учреждением здравоохранения в Реестре контрактов, заключенных заказчиками, или в Реестре договоров, заключенных заказчиками по результатам закупки, на официальном сайте по адресу: </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(в единой информационной системе) (сведения об исполнении указанного контракта, договора должны быть размещены на официальном сайте по адресу: </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 единой информационной системе) в порядке, предусмотренном Федеральным законом от 05.04.2013г. №44- ФЗ «О контрактной системе в сфере закупок товаров, работ, услуг для обеспечения государственных и муниципальных нужд» или Федеральным законом от 18.07.2011г. №223-Ф3 «О закупках товаров, работ, услуг отдельными видами юридических лиц» соответственно;</w:t>
      </w:r>
    </w:p>
    <w:p>
      <w:pPr>
        <w:pStyle w:val="Style3"/>
        <w:numPr>
          <w:ilvl w:val="0"/>
          <w:numId w:val="9"/>
        </w:numPr>
        <w:widowControl w:val="0"/>
        <w:keepNext w:val="0"/>
        <w:keepLines w:val="0"/>
        <w:shd w:val="clear" w:color="auto" w:fill="auto"/>
        <w:bidi w:val="0"/>
        <w:jc w:val="both"/>
        <w:spacing w:before="0" w:after="0" w:line="310" w:lineRule="exact"/>
        <w:ind w:left="120" w:right="0" w:firstLine="580"/>
      </w:pPr>
      <w:r>
        <w:rPr>
          <w:lang w:val="ru-RU" w:eastAsia="ru-RU" w:bidi="ru-RU"/>
          <w:sz w:val="24"/>
          <w:szCs w:val="24"/>
          <w:w w:val="100"/>
          <w:spacing w:val="0"/>
          <w:color w:val="000000"/>
          <w:position w:val="0"/>
        </w:rPr>
        <w:t xml:space="preserve"> копией всех страниц соответствующего контракта (договора), указанного в</w:t>
      </w:r>
    </w:p>
    <w:p>
      <w:pPr>
        <w:pStyle w:val="Style3"/>
        <w:widowControl w:val="0"/>
        <w:keepNext w:val="0"/>
        <w:keepLines w:val="0"/>
        <w:shd w:val="clear" w:color="auto" w:fill="auto"/>
        <w:bidi w:val="0"/>
        <w:jc w:val="left"/>
        <w:spacing w:before="0" w:after="0" w:line="310" w:lineRule="exact"/>
        <w:ind w:left="120" w:right="0" w:firstLine="0"/>
      </w:pPr>
      <w:r>
        <w:rPr>
          <w:lang w:val="ru-RU" w:eastAsia="ru-RU" w:bidi="ru-RU"/>
          <w:sz w:val="24"/>
          <w:szCs w:val="24"/>
          <w:w w:val="100"/>
          <w:spacing w:val="0"/>
          <w:color w:val="000000"/>
          <w:position w:val="0"/>
        </w:rPr>
        <w:t>п. 1;</w:t>
      </w:r>
    </w:p>
    <w:p>
      <w:pPr>
        <w:pStyle w:val="Style3"/>
        <w:numPr>
          <w:ilvl w:val="0"/>
          <w:numId w:val="9"/>
        </w:numPr>
        <w:widowControl w:val="0"/>
        <w:keepNext w:val="0"/>
        <w:keepLines w:val="0"/>
        <w:shd w:val="clear" w:color="auto" w:fill="auto"/>
        <w:bidi w:val="0"/>
        <w:jc w:val="both"/>
        <w:spacing w:before="0" w:after="0" w:line="310" w:lineRule="exact"/>
        <w:ind w:left="120" w:right="20" w:firstLine="580"/>
      </w:pPr>
      <w:r>
        <w:rPr>
          <w:lang w:val="ru-RU" w:eastAsia="ru-RU" w:bidi="ru-RU"/>
          <w:sz w:val="24"/>
          <w:szCs w:val="24"/>
          <w:w w:val="100"/>
          <w:spacing w:val="0"/>
          <w:color w:val="000000"/>
          <w:position w:val="0"/>
        </w:rPr>
        <w:t xml:space="preserve"> копиями документов, подтверждающих исполнение соответствующего контракта (договора), указанного в п. 1 (акты об оказании услуг, утвержденные обеими сторонами);</w:t>
      </w:r>
    </w:p>
    <w:p>
      <w:pPr>
        <w:pStyle w:val="Style3"/>
        <w:numPr>
          <w:ilvl w:val="0"/>
          <w:numId w:val="9"/>
        </w:numPr>
        <w:widowControl w:val="0"/>
        <w:keepNext w:val="0"/>
        <w:keepLines w:val="0"/>
        <w:shd w:val="clear" w:color="auto" w:fill="auto"/>
        <w:bidi w:val="0"/>
        <w:jc w:val="both"/>
        <w:spacing w:before="0" w:after="0" w:line="310" w:lineRule="exact"/>
        <w:ind w:left="120" w:right="20" w:firstLine="580"/>
      </w:pPr>
      <w:r>
        <w:rPr>
          <w:lang w:val="ru-RU" w:eastAsia="ru-RU" w:bidi="ru-RU"/>
          <w:sz w:val="24"/>
          <w:szCs w:val="24"/>
          <w:w w:val="100"/>
          <w:spacing w:val="0"/>
          <w:color w:val="000000"/>
          <w:position w:val="0"/>
        </w:rPr>
        <w:t xml:space="preserve"> указанием стоимости оказания услуг на одного человека в день по каждому соответствующему контракту (договору), указанному в п. 1;</w:t>
      </w:r>
    </w:p>
    <w:p>
      <w:pPr>
        <w:pStyle w:val="Style3"/>
        <w:numPr>
          <w:ilvl w:val="0"/>
          <w:numId w:val="9"/>
        </w:numPr>
        <w:widowControl w:val="0"/>
        <w:keepNext w:val="0"/>
        <w:keepLines w:val="0"/>
        <w:shd w:val="clear" w:color="auto" w:fill="auto"/>
        <w:bidi w:val="0"/>
        <w:jc w:val="both"/>
        <w:spacing w:before="0" w:after="0" w:line="310" w:lineRule="exact"/>
        <w:ind w:left="120" w:right="20" w:firstLine="580"/>
      </w:pPr>
      <w:r>
        <w:rPr>
          <w:lang w:val="ru-RU" w:eastAsia="ru-RU" w:bidi="ru-RU"/>
          <w:sz w:val="24"/>
          <w:szCs w:val="24"/>
          <w:w w:val="100"/>
          <w:spacing w:val="0"/>
          <w:color w:val="000000"/>
          <w:position w:val="0"/>
        </w:rPr>
        <w:t xml:space="preserve"> указанием объема оказанных услуг в человеко-днях по каждому соответствующему контракту (договору), указанному в п. 1.</w:t>
      </w:r>
    </w:p>
    <w:p>
      <w:pPr>
        <w:pStyle w:val="Style3"/>
        <w:widowControl w:val="0"/>
        <w:keepNext w:val="0"/>
        <w:keepLines w:val="0"/>
        <w:shd w:val="clear" w:color="auto" w:fill="auto"/>
        <w:bidi w:val="0"/>
        <w:jc w:val="both"/>
        <w:spacing w:before="0" w:after="0" w:line="310" w:lineRule="exact"/>
        <w:ind w:left="120" w:right="20" w:firstLine="580"/>
      </w:pPr>
      <w:r>
        <w:rPr>
          <w:lang w:val="ru-RU" w:eastAsia="ru-RU" w:bidi="ru-RU"/>
          <w:sz w:val="24"/>
          <w:szCs w:val="24"/>
          <w:w w:val="100"/>
          <w:spacing w:val="0"/>
          <w:color w:val="000000"/>
          <w:position w:val="0"/>
        </w:rPr>
        <w:t>В случае отсутствия документов или сведений в соответствии с п. 1-5, предоставления участником конкурса недостоверной информации, количество человеко-дней по такому контракту (договору) не учитывается при оценке.</w:t>
      </w:r>
    </w:p>
    <w:p>
      <w:pPr>
        <w:pStyle w:val="Style3"/>
        <w:tabs>
          <w:tab w:leader="none" w:pos="3184" w:val="right"/>
          <w:tab w:leader="none" w:pos="4196" w:val="right"/>
          <w:tab w:leader="none" w:pos="4398" w:val="left"/>
        </w:tabs>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В данном случае установления Заказчик при установлении нестоимостного критерии оценки:</w:t>
        <w:tab/>
        <w:t>Опыт</w:t>
        <w:tab/>
        <w:t>работы</w:t>
        <w:tab/>
        <w:t>в виде общего объема оказанных услуг,</w:t>
      </w:r>
    </w:p>
    <w:p>
      <w:pPr>
        <w:pStyle w:val="Style3"/>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выраженный в человеко-днях, по результатам исполненных без пеней, штрафов государственных, муниципальных контрактов, договоров с учреждениями здравоохранения на оказание услуг по организации питания, заключенных по результатам открытых конкурсов формально не нарушает требований частью 8 статьи 32 Закона о контрактной системе и п.З, 10 и 11 Правил. Доказательств ограничения участия в закупке Заявителем не представлено, более того, формально Заявитель, подавая свою заявку на участие в данном конкурсе соглашается и принимает положения конкурсной документации. Приложенные Заявителем контракты свидетельствуют о том, что он обладает опытом оказания услуг по питанию в лечебных учреждениях, а следовательно по данному показателю он может получить определенное количество баллов, при этом за счет основного показателя «цена контракта» при понижении своего первоначального предложения может получить первое место. Вышеуказанный показатель может быть использован Заказчиком при проведении конкурсов с ограниченным участием «на организацию питания пациентов» для отбора лучшего предложения в рамках аналогичных закупок, кроме того необходимо учитывать следующие нарушения, которые были установлены результате проведения внеплановой проверки.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По мнению Комиссии Карельского УФАС России, действующая форма отбора сведений, в том виде, в котором Заказчик ее установил, не позволяет объективно и прозрачно отобрать лучшее предложение от участников по данному критерию. В представленной форме отсутствует зависимость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 Комиссия Карельского УФАС России считает, что Заказчик нарушил требования пункта 10 Правил и части 8 статьи 32, пункта 4 части 1 статьи 54.3 Закона о контрактной системе не установив в данной форме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В данном случае Комиссии Карельского УФАС России не понятно, каким образом комиссия Заказчика будет применять формулу, установленную для оценки по данному критерию и на сколько данная формула сможет определить лучшее предложение? Как будут оцениваться и присваиваться баллы участникам задекларировавшим, например исполнение 1 контракта на 2000 человеко-дней и 10 контрактов по 200 человека дней или 100 контрактов по 2 человека-дней? Причем в первом случае, когда участник показывает опыт успешного исполнения 1 контракта на 2000 человеко-дней и участник показывает 100 контрактов на исполнение по 20 человеко-дней какое в данном случае предложение будет лучшим «максимальным»? Как будет подсчитываться максимальное предложение из предложений по критерию оценки, сделанных участниками закупки при одинаковом количестве человеко-часов, но разных по количеству контрактов?</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На данные вопросы представитель Заказчика не смог ответить, указав, что данный показатель будет рассчитываться комиссией по формуле:</w:t>
      </w:r>
    </w:p>
    <w:p>
      <w:pPr>
        <w:pStyle w:val="Style3"/>
        <w:widowControl w:val="0"/>
        <w:keepNext w:val="0"/>
        <w:keepLines w:val="0"/>
        <w:shd w:val="clear" w:color="auto" w:fill="auto"/>
        <w:bidi w:val="0"/>
        <w:jc w:val="left"/>
        <w:spacing w:before="0" w:after="0" w:line="310" w:lineRule="exact"/>
        <w:ind w:left="600" w:right="4300" w:firstLine="0"/>
      </w:pPr>
      <w:r>
        <w:rPr>
          <w:lang w:val="ru-RU" w:eastAsia="ru-RU" w:bidi="ru-RU"/>
          <w:sz w:val="24"/>
          <w:szCs w:val="24"/>
          <w:w w:val="100"/>
          <w:spacing w:val="0"/>
          <w:color w:val="000000"/>
          <w:position w:val="0"/>
        </w:rPr>
        <w:t xml:space="preserve">1НБЦНКЗ х 100 </w:t>
      </w:r>
      <w:r>
        <w:rPr>
          <w:lang w:val="en-US" w:eastAsia="en-US" w:bidi="en-US"/>
          <w:sz w:val="24"/>
          <w:szCs w:val="24"/>
          <w:w w:val="100"/>
          <w:spacing w:val="0"/>
          <w:color w:val="000000"/>
          <w:position w:val="0"/>
        </w:rPr>
        <w:t xml:space="preserve">x (Ki </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Kmax), </w:t>
      </w:r>
      <w:r>
        <w:rPr>
          <w:lang w:val="ru-RU" w:eastAsia="ru-RU" w:bidi="ru-RU"/>
          <w:sz w:val="24"/>
          <w:szCs w:val="24"/>
          <w:w w:val="100"/>
          <w:spacing w:val="0"/>
          <w:color w:val="000000"/>
          <w:position w:val="0"/>
        </w:rPr>
        <w:t>где:</w:t>
      </w:r>
    </w:p>
    <w:p>
      <w:pPr>
        <w:pStyle w:val="Style3"/>
        <w:widowControl w:val="0"/>
        <w:keepNext w:val="0"/>
        <w:keepLines w:val="0"/>
        <w:shd w:val="clear" w:color="auto" w:fill="auto"/>
        <w:bidi w:val="0"/>
        <w:jc w:val="both"/>
        <w:spacing w:before="0" w:after="0" w:line="310" w:lineRule="exact"/>
        <w:ind w:left="20" w:right="0" w:firstLine="580"/>
      </w:pPr>
      <w:r>
        <w:rPr>
          <w:lang w:val="ru-RU" w:eastAsia="ru-RU" w:bidi="ru-RU"/>
          <w:sz w:val="24"/>
          <w:szCs w:val="24"/>
          <w:w w:val="100"/>
          <w:spacing w:val="0"/>
          <w:color w:val="000000"/>
          <w:position w:val="0"/>
        </w:rPr>
        <w:t xml:space="preserve">КЗ </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коэффициент значимости показателя.</w:t>
      </w:r>
    </w:p>
    <w:p>
      <w:pPr>
        <w:pStyle w:val="Style3"/>
        <w:numPr>
          <w:ilvl w:val="0"/>
          <w:numId w:val="5"/>
        </w:numPr>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 xml:space="preserve"> предложение участника закупки, заявка (предложение) которого оценивается;</w:t>
      </w:r>
    </w:p>
    <w:p>
      <w:pPr>
        <w:pStyle w:val="Style3"/>
        <w:numPr>
          <w:ilvl w:val="0"/>
          <w:numId w:val="5"/>
        </w:numPr>
        <w:widowControl w:val="0"/>
        <w:keepNext w:val="0"/>
        <w:keepLines w:val="0"/>
        <w:shd w:val="clear" w:color="auto" w:fill="auto"/>
        <w:bidi w:val="0"/>
        <w:jc w:val="left"/>
        <w:spacing w:before="0" w:after="237" w:line="310" w:lineRule="exact"/>
        <w:ind w:left="20" w:right="20" w:firstLine="720"/>
      </w:pPr>
      <w:r>
        <w:rPr>
          <w:lang w:val="ru-RU" w:eastAsia="ru-RU" w:bidi="ru-RU"/>
          <w:sz w:val="24"/>
          <w:szCs w:val="24"/>
          <w:w w:val="100"/>
          <w:spacing w:val="0"/>
          <w:color w:val="000000"/>
          <w:position w:val="0"/>
        </w:rPr>
        <w:t xml:space="preserve"> максимальное предложение из предложений по критерию оценки, сделанных участниками закупки.</w:t>
      </w:r>
    </w:p>
    <w:p>
      <w:pPr>
        <w:pStyle w:val="Style3"/>
        <w:numPr>
          <w:ilvl w:val="0"/>
          <w:numId w:val="11"/>
        </w:numPr>
        <w:tabs>
          <w:tab w:leader="none" w:pos="3400" w:val="left"/>
          <w:tab w:leader="none" w:pos="974" w:val="left"/>
        </w:tabs>
        <w:widowControl w:val="0"/>
        <w:keepNext w:val="0"/>
        <w:keepLines w:val="0"/>
        <w:shd w:val="clear" w:color="auto" w:fill="auto"/>
        <w:bidi w:val="0"/>
        <w:jc w:val="both"/>
        <w:spacing w:before="0" w:after="0"/>
        <w:ind w:left="20" w:right="20" w:firstLine="580"/>
      </w:pPr>
      <w:r>
        <w:rPr>
          <w:rStyle w:val="CharStyle33"/>
        </w:rPr>
        <w:t xml:space="preserve">В части второго довода жалобы, </w:t>
      </w:r>
      <w:r>
        <w:rPr>
          <w:lang w:val="ru-RU" w:eastAsia="ru-RU" w:bidi="ru-RU"/>
          <w:sz w:val="24"/>
          <w:szCs w:val="24"/>
          <w:w w:val="100"/>
          <w:spacing w:val="0"/>
          <w:color w:val="000000"/>
          <w:position w:val="0"/>
        </w:rPr>
        <w:t>по предоставлению документов, подтверждающих показатель «Обеспеченность участника закупки трудовыми ресурсами: наличие в штате участника закупки (или привлеченном на ином основании) квалифицированных специалистов с высшим или средним специальным (профессиональным) образованием: наличие поваров в штате участника закупки 5,</w:t>
        <w:tab/>
        <w:t>6 разряда, выраженное в количестве таких</w:t>
      </w:r>
    </w:p>
    <w:p>
      <w:pPr>
        <w:pStyle w:val="Style3"/>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квалифицированных специалистов оценивается наличие и возможность предоставления квалифицированных трудовых ресурсов с высшим разрядом, которых участник конкурса может предоставить для оказания услуг по организации питания, </w:t>
      </w:r>
      <w:r>
        <w:rPr>
          <w:rStyle w:val="CharStyle32"/>
        </w:rPr>
        <w:t>а именно: Сведения о застрахованных лицах (форма СЗВ-М)</w:t>
      </w:r>
      <w:r>
        <w:rPr>
          <w:lang w:val="ru-RU" w:eastAsia="ru-RU" w:bidi="ru-RU"/>
          <w:sz w:val="24"/>
          <w:szCs w:val="24"/>
          <w:w w:val="100"/>
          <w:spacing w:val="0"/>
          <w:color w:val="000000"/>
          <w:position w:val="0"/>
        </w:rPr>
        <w:t xml:space="preserve"> </w:t>
      </w:r>
      <w:r>
        <w:rPr>
          <w:rStyle w:val="CharStyle32"/>
        </w:rPr>
        <w:t>представляемая в Пенсионный фонд РФ, сведения по форме РСВ, подтверждающие</w:t>
      </w:r>
    </w:p>
    <w:p>
      <w:pPr>
        <w:pStyle w:val="Style3"/>
        <w:widowControl w:val="0"/>
        <w:keepNext w:val="0"/>
        <w:keepLines w:val="0"/>
        <w:shd w:val="clear" w:color="auto" w:fill="auto"/>
        <w:bidi w:val="0"/>
        <w:jc w:val="both"/>
        <w:spacing w:before="0" w:after="0" w:line="240" w:lineRule="exact"/>
        <w:ind w:left="20" w:right="0" w:firstLine="0"/>
      </w:pPr>
      <w:r>
        <w:rPr>
          <w:rStyle w:val="CharStyle32"/>
        </w:rPr>
        <w:t>доход сотрудников и начисленный страховые взносы, сведения по форме СЗВ-ТД,</w:t>
      </w:r>
    </w:p>
    <w:p>
      <w:pPr>
        <w:pStyle w:val="Style3"/>
        <w:widowControl w:val="0"/>
        <w:keepNext w:val="0"/>
        <w:keepLines w:val="0"/>
        <w:shd w:val="clear" w:color="auto" w:fill="auto"/>
        <w:bidi w:val="0"/>
        <w:jc w:val="both"/>
        <w:spacing w:before="0" w:after="0" w:line="310" w:lineRule="exact"/>
        <w:ind w:left="20" w:right="20" w:firstLine="0"/>
      </w:pPr>
      <w:r>
        <w:rPr>
          <w:rStyle w:val="CharStyle32"/>
        </w:rPr>
        <w:t>подтверждающие прием, увольнение, кадровый перевод (указанные сведения</w:t>
      </w:r>
      <w:r>
        <w:rPr>
          <w:lang w:val="ru-RU" w:eastAsia="ru-RU" w:bidi="ru-RU"/>
          <w:sz w:val="24"/>
          <w:szCs w:val="24"/>
          <w:w w:val="100"/>
          <w:spacing w:val="0"/>
          <w:color w:val="000000"/>
          <w:position w:val="0"/>
        </w:rPr>
        <w:t xml:space="preserve"> </w:t>
      </w:r>
      <w:r>
        <w:rPr>
          <w:rStyle w:val="CharStyle32"/>
        </w:rPr>
        <w:t>предоставляются с отметкой о получении контролирующим органом),</w:t>
      </w:r>
      <w:r>
        <w:rPr>
          <w:lang w:val="ru-RU" w:eastAsia="ru-RU" w:bidi="ru-RU"/>
          <w:sz w:val="24"/>
          <w:szCs w:val="24"/>
          <w:w w:val="100"/>
          <w:spacing w:val="0"/>
          <w:color w:val="000000"/>
          <w:position w:val="0"/>
        </w:rPr>
        <w:t xml:space="preserve"> копии следующих документов: штатного расписания участника закупки; действующей медицинской (санитарной) книжки; трудовой книжки или трудового договора по совместительству.</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Комиссия Карельского УФАС России считает, что к документам, подтверждающим наличие трудовых ресурсов у Исполнителя могут быть отнесены: копия трудового договора или трудового договора по совместительству; копия гражданского-правового договора, не являющегося штатным сотрудником участника закупки; копия действующей медицинской (санитарной) книжки или паспорта здоровья; копия штатного расписания участника закупки и т.д.</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Сведения о застрахованных лицах (форма СЗВ-М) представляемая в Пенсионный фонд РФ, сведения по форме РСВ, подтверждающие доход сотрудников и начисленный страховые взносы, сведения по форме СЗВ-ТД, подтверждающие прием, увольнение, кадровый перевод (указанные сведения предоставляются с отметкой о получении контролирующим органом) по мнению Комиссии Карельского УФАС России не подтверждают показатель «Обеспеченность участника закупки трудовыми ресурсами», в том числе могут повлечь за собой ограничение количества участников закупки или ограничение доступа к участию в открытом конкурсе в электронной форме, т.к. в данном случае не будут учтены работники, работающие по договорам гражданско-правового характера.</w:t>
      </w:r>
    </w:p>
    <w:p>
      <w:pPr>
        <w:pStyle w:val="Style3"/>
        <w:widowControl w:val="0"/>
        <w:keepNext w:val="0"/>
        <w:keepLines w:val="0"/>
        <w:shd w:val="clear" w:color="auto" w:fill="auto"/>
        <w:bidi w:val="0"/>
        <w:jc w:val="both"/>
        <w:spacing w:before="0" w:after="0" w:line="310" w:lineRule="exact"/>
        <w:ind w:left="20" w:right="20" w:firstLine="580"/>
      </w:pPr>
      <w:r>
        <w:rPr>
          <w:lang w:val="ru-RU" w:eastAsia="ru-RU" w:bidi="ru-RU"/>
          <w:sz w:val="24"/>
          <w:szCs w:val="24"/>
          <w:w w:val="100"/>
          <w:spacing w:val="0"/>
          <w:color w:val="000000"/>
          <w:position w:val="0"/>
        </w:rPr>
        <w:t>С учетом этого, действия Заказчика по установлению обязанности участников подтвердить свой опыт путем предоставления вышеуказанных документов, по мнению Комиссии Карельского УФАС России, нарушают требования пункта 10</w:t>
      </w:r>
    </w:p>
    <w:p>
      <w:pPr>
        <w:pStyle w:val="Style3"/>
        <w:widowControl w:val="0"/>
        <w:keepNext w:val="0"/>
        <w:keepLines w:val="0"/>
        <w:shd w:val="clear" w:color="auto" w:fill="auto"/>
        <w:bidi w:val="0"/>
        <w:jc w:val="both"/>
        <w:spacing w:before="0" w:after="69" w:line="320" w:lineRule="exact"/>
        <w:ind w:left="20" w:right="20" w:firstLine="0"/>
      </w:pPr>
      <w:r>
        <w:rPr>
          <w:lang w:val="ru-RU" w:eastAsia="ru-RU" w:bidi="ru-RU"/>
          <w:sz w:val="24"/>
          <w:szCs w:val="24"/>
          <w:w w:val="100"/>
          <w:spacing w:val="0"/>
          <w:color w:val="000000"/>
          <w:position w:val="0"/>
        </w:rPr>
        <w:t>Правил и части 8 статьи 32, пункт 4 части 1 статьи 54.3 Закона о контрактной системе.</w:t>
      </w:r>
    </w:p>
    <w:p>
      <w:pPr>
        <w:pStyle w:val="Style20"/>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В части третьего довода о нарушении Заказчиком при установлении не стоимостного критерия оценки «Деловая репутация» (показатель) (ЗШЦи):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Заказчиком установлены критерии оценки «Деловая репутация» (показатель) (ЗНЦБ1): со следующей формулировкой: «...Предоставление информации по настоящему разделу обусловлено необходимостью подтверждения добросовестности такого Участника на дату подачи заявки. Для указанных целей принимается во внимание отсутствие признаков банкротства у Участника конкурса. В связи, с чем рассматриваются сведения, предоставленные Участником о вступивших в законную силу по решению суда за три года до даты размещения в единой информационной системе извещения о проведении настоящего конкурса с ограниченным участием решения, устанавливающие задолженность в пользу взыскателей, выраженная в рублях. </w:t>
      </w:r>
      <w:r>
        <w:rPr>
          <w:rStyle w:val="CharStyle40"/>
        </w:rPr>
        <w:t xml:space="preserve">Предоставляется номер дела в системе </w:t>
      </w:r>
      <w:r>
        <w:fldChar w:fldCharType="begin"/>
      </w:r>
      <w:r>
        <w:rPr>
          <w:rStyle w:val="CharStyle40"/>
        </w:rPr>
        <w:instrText> HYPERLINK "https://kad.arbitr.ru/" </w:instrText>
      </w:r>
      <w:r>
        <w:fldChar w:fldCharType="separate"/>
      </w:r>
      <w:r>
        <w:rPr>
          <w:rStyle w:val="Hyperlink"/>
          <w:lang w:val="en-US" w:eastAsia="en-US" w:bidi="en-US"/>
        </w:rPr>
        <w:t>https://kad.arbitr.ru/</w:t>
      </w:r>
      <w:r>
        <w:fldChar w:fldCharType="end"/>
      </w:r>
      <w:r>
        <w:rPr>
          <w:rStyle w:val="CharStyle40"/>
          <w:lang w:val="en-US" w:eastAsia="en-US" w:bidi="en-US"/>
        </w:rPr>
        <w:t xml:space="preserve"> </w:t>
      </w:r>
      <w:r>
        <w:rPr>
          <w:rStyle w:val="CharStyle40"/>
        </w:rPr>
        <w:t>и сумма задолженности по такому делу</w:t>
      </w:r>
      <w:r>
        <w:rPr>
          <w:lang w:val="ru-RU" w:eastAsia="ru-RU" w:bidi="ru-RU"/>
          <w:sz w:val="24"/>
          <w:szCs w:val="24"/>
          <w:w w:val="100"/>
          <w:spacing w:val="0"/>
          <w:color w:val="000000"/>
          <w:position w:val="0"/>
        </w:rPr>
        <w:t xml:space="preserve">, </w:t>
      </w:r>
      <w:r>
        <w:rPr>
          <w:rStyle w:val="CharStyle40"/>
        </w:rPr>
        <w:t>а также следует сообщить полную информацию о наличии исполнительных производств в отношении Участника, действующих на момент подачи заявки...».</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Комиссия Карельского УФАС России соглашается с доводами Заявителя о том, что в данном случае, установленные Заказчиком документы для подтверждения критерия не позволяют выявить лучшее предложение, так как является несоизмеримыми и непрозрачными. Например, участнику с одним исполнительным производством и участнику с 10 исполнительными производствами будут установлены одинаковые показатели по данному критерию.</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Кроме того, пунктом 5 части 1 статьи 31 Закона о контрактной системе к участнику закупки прямо предъявляются, по сути дублирующие данный показатель, обязательные в силу Закона требования:</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Об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3"/>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Комиссия Карельского УФАС России установила, что Заказчик при установлении вышеуказанного критерия, допустил нарушение пункта 10 Правил и части 8 статьи 32, пункта 4 части 1 статьи 54.3 Закона о контрактной системе.</w:t>
      </w:r>
    </w:p>
    <w:p>
      <w:pPr>
        <w:pStyle w:val="Style3"/>
        <w:widowControl w:val="0"/>
        <w:keepNext w:val="0"/>
        <w:keepLines w:val="0"/>
        <w:shd w:val="clear" w:color="auto" w:fill="auto"/>
        <w:bidi w:val="0"/>
        <w:jc w:val="both"/>
        <w:spacing w:before="0" w:after="0" w:line="310" w:lineRule="exact"/>
        <w:ind w:left="20" w:right="20" w:firstLine="600"/>
      </w:pPr>
      <w:r>
        <w:rPr>
          <w:lang w:val="ru-RU" w:eastAsia="ru-RU" w:bidi="ru-RU"/>
          <w:sz w:val="24"/>
          <w:szCs w:val="24"/>
          <w:w w:val="100"/>
          <w:spacing w:val="0"/>
          <w:color w:val="000000"/>
          <w:position w:val="0"/>
        </w:rPr>
        <w:t>В то же время, учитывая, что вышеуказанная закупка аннулирована по решению Карельского УФАС России от 08.07.2020 № 010/06/105-448/2020, в данном случае предписание не выдается.</w:t>
      </w:r>
    </w:p>
    <w:p>
      <w:pPr>
        <w:pStyle w:val="Style3"/>
        <w:widowControl w:val="0"/>
        <w:keepNext w:val="0"/>
        <w:keepLines w:val="0"/>
        <w:shd w:val="clear" w:color="auto" w:fill="auto"/>
        <w:bidi w:val="0"/>
        <w:jc w:val="both"/>
        <w:spacing w:before="0" w:after="116" w:line="310" w:lineRule="exact"/>
        <w:ind w:left="20" w:right="20" w:firstLine="600"/>
      </w:pPr>
      <w:r>
        <w:rPr>
          <w:lang w:val="ru-RU" w:eastAsia="ru-RU" w:bidi="ru-RU"/>
          <w:sz w:val="24"/>
          <w:szCs w:val="24"/>
          <w:w w:val="100"/>
          <w:spacing w:val="0"/>
          <w:color w:val="000000"/>
          <w:position w:val="0"/>
        </w:rPr>
        <w:t>На основании вышеизложенного, 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20"/>
        <w:widowControl w:val="0"/>
        <w:keepNext w:val="0"/>
        <w:keepLines w:val="0"/>
        <w:shd w:val="clear" w:color="auto" w:fill="auto"/>
        <w:bidi w:val="0"/>
        <w:jc w:val="center"/>
        <w:spacing w:before="0" w:after="73" w:line="240" w:lineRule="exact"/>
        <w:ind w:left="0" w:right="0" w:firstLine="0"/>
      </w:pPr>
      <w:r>
        <w:rPr>
          <w:lang w:val="ru-RU" w:eastAsia="ru-RU" w:bidi="ru-RU"/>
          <w:sz w:val="24"/>
          <w:szCs w:val="24"/>
          <w:w w:val="100"/>
          <w:spacing w:val="0"/>
          <w:color w:val="000000"/>
          <w:position w:val="0"/>
        </w:rPr>
        <w:t>РЕШИЛА:</w:t>
      </w:r>
    </w:p>
    <w:p>
      <w:pPr>
        <w:pStyle w:val="Style3"/>
        <w:numPr>
          <w:ilvl w:val="0"/>
          <w:numId w:val="13"/>
        </w:numPr>
        <w:widowControl w:val="0"/>
        <w:keepNext w:val="0"/>
        <w:keepLines w:val="0"/>
        <w:shd w:val="clear" w:color="auto" w:fill="auto"/>
        <w:bidi w:val="0"/>
        <w:jc w:val="both"/>
        <w:spacing w:before="0" w:after="0"/>
        <w:ind w:left="20" w:right="20" w:firstLine="600"/>
      </w:pPr>
      <w:r>
        <w:rPr>
          <w:lang w:val="ru-RU" w:eastAsia="ru-RU" w:bidi="ru-RU"/>
          <w:sz w:val="24"/>
          <w:szCs w:val="24"/>
          <w:w w:val="100"/>
          <w:spacing w:val="0"/>
          <w:color w:val="000000"/>
          <w:position w:val="0"/>
        </w:rPr>
        <w:t xml:space="preserve"> Признать жалобу ООО «Комбинат социального питания» на действия Заказчика - ГБУЗ «РОД» при проведении конкурса с ограниченным участием в электронной форме на оказание услуг по организации готового горячего питания пациентов Государственного бюджетного учреждения здравоохранения Республики Карелия «Республиканский онкологический диспансер» (извещение № 0306200011420000157) обоснованной в части.</w:t>
      </w:r>
    </w:p>
    <w:p>
      <w:pPr>
        <w:pStyle w:val="Style3"/>
        <w:numPr>
          <w:ilvl w:val="0"/>
          <w:numId w:val="13"/>
        </w:numPr>
        <w:widowControl w:val="0"/>
        <w:keepNext w:val="0"/>
        <w:keepLines w:val="0"/>
        <w:shd w:val="clear" w:color="auto" w:fill="auto"/>
        <w:bidi w:val="0"/>
        <w:jc w:val="both"/>
        <w:spacing w:before="0" w:after="0"/>
        <w:ind w:left="20" w:right="20" w:firstLine="600"/>
      </w:pPr>
      <w:r>
        <w:rPr>
          <w:lang w:val="ru-RU" w:eastAsia="ru-RU" w:bidi="ru-RU"/>
          <w:sz w:val="24"/>
          <w:szCs w:val="24"/>
          <w:w w:val="100"/>
          <w:spacing w:val="0"/>
          <w:color w:val="000000"/>
          <w:position w:val="0"/>
        </w:rPr>
        <w:t xml:space="preserve"> В действиях Заказчика установлено нарушение пункта 10 Правил и части 8 статьи 32, пункта 4 части 1 статьи 54.3 Закона о контрактной системе.</w:t>
      </w:r>
    </w:p>
    <w:p>
      <w:pPr>
        <w:pStyle w:val="Style3"/>
        <w:numPr>
          <w:ilvl w:val="0"/>
          <w:numId w:val="13"/>
        </w:numPr>
        <w:widowControl w:val="0"/>
        <w:keepNext w:val="0"/>
        <w:keepLines w:val="0"/>
        <w:shd w:val="clear" w:color="auto" w:fill="auto"/>
        <w:bidi w:val="0"/>
        <w:jc w:val="both"/>
        <w:spacing w:before="0" w:after="287"/>
        <w:ind w:left="20" w:right="20" w:firstLine="600"/>
      </w:pPr>
      <w:r>
        <w:rPr>
          <w:lang w:val="ru-RU" w:eastAsia="ru-RU" w:bidi="ru-RU"/>
          <w:sz w:val="24"/>
          <w:szCs w:val="24"/>
          <w:w w:val="100"/>
          <w:spacing w:val="0"/>
          <w:color w:val="000000"/>
          <w:position w:val="0"/>
        </w:rPr>
        <w:t xml:space="preserve"> Предписание об устранении нарушений законодательства о контрактной системе по конкурсу с ограниченным участием в электронной форме на оказание услуг по организации готового горячего питания пациентов Государственного бюджетного учреждения здравоохранения Республики Карелия «Республиканский онкологический диспансер» (извещение № 0306200011420000157) не выдавать.</w:t>
      </w:r>
    </w:p>
    <w:p>
      <w:pPr>
        <w:pStyle w:val="Style41"/>
        <w:widowControl w:val="0"/>
        <w:keepNext w:val="0"/>
        <w:keepLines w:val="0"/>
        <w:shd w:val="clear" w:color="auto" w:fill="auto"/>
        <w:bidi w:val="0"/>
        <w:jc w:val="left"/>
        <w:spacing w:before="0" w:after="0" w:line="180" w:lineRule="exact"/>
        <w:ind w:left="1300" w:right="0" w:firstLine="0"/>
      </w:pPr>
      <w:r>
        <w:rPr>
          <w:lang w:val="ru-RU" w:eastAsia="ru-RU" w:bidi="ru-RU"/>
          <w:w w:val="100"/>
          <w:spacing w:val="0"/>
          <w:color w:val="000000"/>
          <w:position w:val="0"/>
        </w:rPr>
        <w:t>Настоящее решение может быть обжаловано в Арбитражном суде Республики Карелия</w:t>
      </w:r>
    </w:p>
    <w:p>
      <w:pPr>
        <w:pStyle w:val="Style41"/>
        <w:widowControl w:val="0"/>
        <w:keepNext w:val="0"/>
        <w:keepLines w:val="0"/>
        <w:shd w:val="clear" w:color="auto" w:fill="auto"/>
        <w:bidi w:val="0"/>
        <w:jc w:val="center"/>
        <w:spacing w:before="0" w:after="263" w:line="180" w:lineRule="exact"/>
        <w:ind w:left="0" w:right="0" w:firstLine="0"/>
      </w:pPr>
      <w:r>
        <w:rPr>
          <w:lang w:val="ru-RU" w:eastAsia="ru-RU" w:bidi="ru-RU"/>
          <w:w w:val="100"/>
          <w:spacing w:val="0"/>
          <w:color w:val="000000"/>
          <w:position w:val="0"/>
        </w:rPr>
        <w:t>в течение 3 месяцев со дня с</w:t>
      </w:r>
    </w:p>
    <w:p>
      <w:pPr>
        <w:pStyle w:val="Style3"/>
        <w:widowControl w:val="0"/>
        <w:keepNext w:val="0"/>
        <w:keepLines w:val="0"/>
        <w:shd w:val="clear" w:color="auto" w:fill="auto"/>
        <w:bidi w:val="0"/>
        <w:jc w:val="left"/>
        <w:spacing w:before="0" w:after="311"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1049" w:left="652" w:right="652" w:bottom="802" w:header="0" w:footer="3" w:gutter="46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5"/>
      <w:numFmt w:val="decimal"/>
      <w:lvlText w:val="27.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5"/>
      <w:numFmt w:val="decimal"/>
      <w:lvlText w:val="04.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character" w:customStyle="1" w:styleId="CharStyle5">
    <w:name w:val="Основной текст Exact"/>
    <w:basedOn w:val="CharStyle22"/>
    <w:rPr>
      <w:spacing w:val="5"/>
    </w:rPr>
  </w:style>
  <w:style w:type="character" w:customStyle="1" w:styleId="CharStyle7">
    <w:name w:val="Основной текст (6) Exact"/>
    <w:basedOn w:val="DefaultParagraphFont"/>
    <w:link w:val="Style6"/>
    <w:rPr>
      <w:lang w:val="en-US" w:eastAsia="en-US" w:bidi="en-US"/>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8">
    <w:name w:val="Основной текст (6) Exact"/>
    <w:basedOn w:val="CharStyle7"/>
    <w:rPr>
      <w:w w:val="100"/>
      <w:color w:val="000000"/>
      <w:position w:val="0"/>
    </w:rPr>
  </w:style>
  <w:style w:type="character" w:customStyle="1" w:styleId="CharStyle9">
    <w:name w:val="Основной текст (6) + 8 pt,Интервал 0 pt Exact"/>
    <w:basedOn w:val="CharStyle7"/>
    <w:rPr>
      <w:lang w:val="ru-RU" w:eastAsia="ru-RU" w:bidi="ru-RU"/>
      <w:sz w:val="16"/>
      <w:szCs w:val="16"/>
      <w:w w:val="100"/>
      <w:spacing w:val="1"/>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2) + 10 pt,Не полужирный,Интервал 1 pt"/>
    <w:basedOn w:val="CharStyle11"/>
    <w:rPr>
      <w:lang w:val="ru-RU" w:eastAsia="ru-RU" w:bidi="ru-RU"/>
      <w:b/>
      <w:bCs/>
      <w:sz w:val="20"/>
      <w:szCs w:val="20"/>
      <w:w w:val="100"/>
      <w:spacing w:val="20"/>
      <w:color w:val="000000"/>
      <w:position w:val="0"/>
    </w:rPr>
  </w:style>
  <w:style w:type="character" w:customStyle="1" w:styleId="CharStyle13">
    <w:name w:val="Основной текст (2)"/>
    <w:basedOn w:val="CharStyle11"/>
    <w:rPr>
      <w:lang w:val="ru-RU" w:eastAsia="ru-RU" w:bidi="ru-RU"/>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3)"/>
    <w:basedOn w:val="CharStyle15"/>
    <w:rPr>
      <w:lang w:val="ru-RU" w:eastAsia="ru-RU" w:bidi="ru-RU"/>
      <w:w w:val="100"/>
      <w:spacing w:val="0"/>
      <w:color w:val="000000"/>
      <w:position w:val="0"/>
    </w:rPr>
  </w:style>
  <w:style w:type="character" w:customStyle="1" w:styleId="CharStyle18">
    <w:name w:val="Заголовок №2_"/>
    <w:basedOn w:val="DefaultParagraphFont"/>
    <w:link w:val="Style17"/>
    <w:rPr>
      <w:b/>
      <w:bCs/>
      <w:i w:val="0"/>
      <w:iCs w:val="0"/>
      <w:u w:val="none"/>
      <w:strike w:val="0"/>
      <w:smallCaps w:val="0"/>
      <w:sz w:val="28"/>
      <w:szCs w:val="28"/>
      <w:rFonts w:ascii="Times New Roman" w:eastAsia="Times New Roman" w:hAnsi="Times New Roman" w:cs="Times New Roman"/>
      <w:w w:val="60"/>
    </w:rPr>
  </w:style>
  <w:style w:type="character" w:customStyle="1" w:styleId="CharStyle19">
    <w:name w:val="Заголовок №2"/>
    <w:basedOn w:val="CharStyle18"/>
    <w:rPr>
      <w:lang w:val="ru-RU" w:eastAsia="ru-RU" w:bidi="ru-RU"/>
      <w:spacing w:val="0"/>
      <w:color w:val="000000"/>
      <w:position w:val="0"/>
    </w:rPr>
  </w:style>
  <w:style w:type="character" w:customStyle="1" w:styleId="CharStyle21">
    <w:name w:val="Основной текст (4)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2">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5)_"/>
    <w:basedOn w:val="DefaultParagraphFont"/>
    <w:link w:val="Style23"/>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26">
    <w:name w:val="Основной текст (5) Exact"/>
    <w:basedOn w:val="CharStyle24"/>
    <w:rPr>
      <w:lang w:val="ru-RU" w:eastAsia="ru-RU" w:bidi="ru-RU"/>
      <w:sz w:val="21"/>
      <w:szCs w:val="21"/>
      <w:w w:val="100"/>
      <w:spacing w:val="5"/>
      <w:color w:val="000000"/>
      <w:position w:val="0"/>
    </w:rPr>
  </w:style>
  <w:style w:type="character" w:customStyle="1" w:styleId="CharStyle27">
    <w:name w:val="Основной текст (5)"/>
    <w:basedOn w:val="CharStyle24"/>
    <w:rPr>
      <w:lang w:val="ru-RU" w:eastAsia="ru-RU" w:bidi="ru-RU"/>
      <w:w w:val="100"/>
      <w:spacing w:val="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34"/>
      <w:szCs w:val="34"/>
      <w:rFonts w:ascii="Times New Roman" w:eastAsia="Times New Roman" w:hAnsi="Times New Roman" w:cs="Times New Roman"/>
      <w:spacing w:val="30"/>
    </w:rPr>
  </w:style>
  <w:style w:type="character" w:customStyle="1" w:styleId="CharStyle30">
    <w:name w:val="Основной текст + Trebuchet MS,11 pt"/>
    <w:basedOn w:val="CharStyle22"/>
    <w:rPr>
      <w:lang w:val="ru-RU" w:eastAsia="ru-RU" w:bidi="ru-RU"/>
      <w:sz w:val="22"/>
      <w:szCs w:val="22"/>
      <w:rFonts w:ascii="Trebuchet MS" w:eastAsia="Trebuchet MS" w:hAnsi="Trebuchet MS" w:cs="Trebuchet MS"/>
      <w:w w:val="100"/>
      <w:spacing w:val="0"/>
      <w:color w:val="000000"/>
      <w:position w:val="0"/>
    </w:rPr>
  </w:style>
  <w:style w:type="character" w:customStyle="1" w:styleId="CharStyle31">
    <w:name w:val="Основной текст + Arial,10 pt,Полужирный"/>
    <w:basedOn w:val="CharStyle22"/>
    <w:rPr>
      <w:lang w:val="ru-RU" w:eastAsia="ru-RU" w:bidi="ru-RU"/>
      <w:b/>
      <w:bCs/>
      <w:sz w:val="20"/>
      <w:szCs w:val="20"/>
      <w:rFonts w:ascii="Arial" w:eastAsia="Arial" w:hAnsi="Arial" w:cs="Arial"/>
      <w:w w:val="100"/>
      <w:spacing w:val="0"/>
      <w:color w:val="000000"/>
      <w:position w:val="0"/>
    </w:rPr>
  </w:style>
  <w:style w:type="character" w:customStyle="1" w:styleId="CharStyle32">
    <w:name w:val="Основной текст"/>
    <w:basedOn w:val="CharStyle22"/>
    <w:rPr>
      <w:lang w:val="ru-RU" w:eastAsia="ru-RU" w:bidi="ru-RU"/>
      <w:u w:val="single"/>
      <w:sz w:val="24"/>
      <w:szCs w:val="24"/>
      <w:w w:val="100"/>
      <w:spacing w:val="0"/>
      <w:color w:val="000000"/>
      <w:position w:val="0"/>
    </w:rPr>
  </w:style>
  <w:style w:type="character" w:customStyle="1" w:styleId="CharStyle33">
    <w:name w:val="Основной текст + Полужирный"/>
    <w:basedOn w:val="CharStyle22"/>
    <w:rPr>
      <w:lang w:val="ru-RU" w:eastAsia="ru-RU" w:bidi="ru-RU"/>
      <w:b/>
      <w:bCs/>
      <w:sz w:val="24"/>
      <w:szCs w:val="24"/>
      <w:w w:val="100"/>
      <w:spacing w:val="0"/>
      <w:color w:val="000000"/>
      <w:position w:val="0"/>
    </w:rPr>
  </w:style>
  <w:style w:type="character" w:customStyle="1" w:styleId="CharStyle34">
    <w:name w:val="Основной текст (4) + Не полужирный"/>
    <w:basedOn w:val="CharStyle21"/>
    <w:rPr>
      <w:lang w:val="ru-RU" w:eastAsia="ru-RU" w:bidi="ru-RU"/>
      <w:b/>
      <w:bCs/>
      <w:sz w:val="24"/>
      <w:szCs w:val="24"/>
      <w:w w:val="100"/>
      <w:spacing w:val="0"/>
      <w:color w:val="000000"/>
      <w:position w:val="0"/>
    </w:rPr>
  </w:style>
  <w:style w:type="character" w:customStyle="1" w:styleId="CharStyle35">
    <w:name w:val="Основной текст (4)"/>
    <w:basedOn w:val="CharStyle21"/>
    <w:rPr>
      <w:lang w:val="ru-RU" w:eastAsia="ru-RU" w:bidi="ru-RU"/>
      <w:u w:val="single"/>
      <w:sz w:val="24"/>
      <w:szCs w:val="24"/>
      <w:w w:val="100"/>
      <w:spacing w:val="0"/>
      <w:color w:val="000000"/>
      <w:position w:val="0"/>
    </w:rPr>
  </w:style>
  <w:style w:type="character" w:customStyle="1" w:styleId="CharStyle36">
    <w:name w:val="Основной текст + Полужирный"/>
    <w:basedOn w:val="CharStyle22"/>
    <w:rPr>
      <w:lang w:val="ru-RU" w:eastAsia="ru-RU" w:bidi="ru-RU"/>
      <w:b/>
      <w:bCs/>
      <w:u w:val="single"/>
      <w:sz w:val="24"/>
      <w:szCs w:val="24"/>
      <w:w w:val="100"/>
      <w:spacing w:val="0"/>
      <w:color w:val="000000"/>
      <w:position w:val="0"/>
    </w:rPr>
  </w:style>
  <w:style w:type="character" w:customStyle="1" w:styleId="CharStyle38">
    <w:name w:val="Подпись к таблице_"/>
    <w:basedOn w:val="DefaultParagraphFont"/>
    <w:link w:val="Style37"/>
    <w:rPr>
      <w:b w:val="0"/>
      <w:bCs w:val="0"/>
      <w:i w:val="0"/>
      <w:iCs w:val="0"/>
      <w:u w:val="none"/>
      <w:strike w:val="0"/>
      <w:smallCaps w:val="0"/>
      <w:rFonts w:ascii="Times New Roman" w:eastAsia="Times New Roman" w:hAnsi="Times New Roman" w:cs="Times New Roman"/>
    </w:rPr>
  </w:style>
  <w:style w:type="character" w:customStyle="1" w:styleId="CharStyle39">
    <w:name w:val="Основной текст + 11 pt"/>
    <w:basedOn w:val="CharStyle22"/>
    <w:rPr>
      <w:lang w:val="ru-RU" w:eastAsia="ru-RU" w:bidi="ru-RU"/>
      <w:sz w:val="22"/>
      <w:szCs w:val="22"/>
      <w:w w:val="100"/>
      <w:spacing w:val="0"/>
      <w:color w:val="000000"/>
      <w:position w:val="0"/>
    </w:rPr>
  </w:style>
  <w:style w:type="character" w:customStyle="1" w:styleId="CharStyle40">
    <w:name w:val="Основной текст + Полужирный,Курсив"/>
    <w:basedOn w:val="CharStyle22"/>
    <w:rPr>
      <w:lang w:val="ru-RU" w:eastAsia="ru-RU" w:bidi="ru-RU"/>
      <w:b/>
      <w:bCs/>
      <w:i/>
      <w:iCs/>
      <w:sz w:val="24"/>
      <w:szCs w:val="24"/>
      <w:w w:val="100"/>
      <w:spacing w:val="0"/>
      <w:color w:val="000000"/>
      <w:position w:val="0"/>
    </w:rPr>
  </w:style>
  <w:style w:type="character" w:customStyle="1" w:styleId="CharStyle42">
    <w:name w:val="Основной текст (7)_"/>
    <w:basedOn w:val="DefaultParagraphFont"/>
    <w:link w:val="Style41"/>
    <w:rPr>
      <w:b w:val="0"/>
      <w:bCs w:val="0"/>
      <w:i/>
      <w:iCs/>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22"/>
    <w:pPr>
      <w:widowControl w:val="0"/>
      <w:shd w:val="clear" w:color="auto" w:fill="FFFFFF"/>
      <w:spacing w:line="313"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6)"/>
    <w:basedOn w:val="Normal"/>
    <w:link w:val="CharStyle7"/>
    <w:pPr>
      <w:widowControl w:val="0"/>
      <w:shd w:val="clear" w:color="auto" w:fill="FFFFFF"/>
      <w:jc w:val="both"/>
      <w:spacing w:line="137" w:lineRule="exact"/>
    </w:pPr>
    <w:rPr>
      <w:lang w:val="en-US" w:eastAsia="en-US" w:bidi="en-US"/>
      <w:b w:val="0"/>
      <w:bCs w:val="0"/>
      <w:i w:val="0"/>
      <w:iCs w:val="0"/>
      <w:u w:val="none"/>
      <w:strike w:val="0"/>
      <w:smallCaps w:val="0"/>
      <w:sz w:val="22"/>
      <w:szCs w:val="22"/>
      <w:rFonts w:ascii="Times New Roman" w:eastAsia="Times New Roman" w:hAnsi="Times New Roman" w:cs="Times New Roman"/>
      <w:spacing w:val="-4"/>
    </w:rPr>
  </w:style>
  <w:style w:type="paragraph" w:customStyle="1" w:styleId="Style10">
    <w:name w:val="Основной текст (2)"/>
    <w:basedOn w:val="Normal"/>
    <w:link w:val="CharStyle11"/>
    <w:pPr>
      <w:widowControl w:val="0"/>
      <w:shd w:val="clear" w:color="auto" w:fill="FFFFFF"/>
      <w:jc w:val="center"/>
      <w:spacing w:before="60" w:line="31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center"/>
      <w:outlineLvl w:val="1"/>
      <w:spacing w:before="60" w:line="0" w:lineRule="exact"/>
    </w:pPr>
    <w:rPr>
      <w:b/>
      <w:bCs/>
      <w:i w:val="0"/>
      <w:iCs w:val="0"/>
      <w:u w:val="none"/>
      <w:strike w:val="0"/>
      <w:smallCaps w:val="0"/>
      <w:sz w:val="28"/>
      <w:szCs w:val="28"/>
      <w:rFonts w:ascii="Times New Roman" w:eastAsia="Times New Roman" w:hAnsi="Times New Roman" w:cs="Times New Roman"/>
      <w:w w:val="60"/>
    </w:rPr>
  </w:style>
  <w:style w:type="paragraph" w:customStyle="1" w:styleId="Style20">
    <w:name w:val="Основной текст (4)"/>
    <w:basedOn w:val="Normal"/>
    <w:link w:val="CharStyle21"/>
    <w:pPr>
      <w:widowControl w:val="0"/>
      <w:shd w:val="clear" w:color="auto" w:fill="FFFFFF"/>
      <w:spacing w:after="240" w:line="313"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line="28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60" w:line="0" w:lineRule="exact"/>
    </w:pPr>
    <w:rPr>
      <w:b w:val="0"/>
      <w:bCs w:val="0"/>
      <w:i w:val="0"/>
      <w:iCs w:val="0"/>
      <w:u w:val="none"/>
      <w:strike w:val="0"/>
      <w:smallCaps w:val="0"/>
      <w:sz w:val="34"/>
      <w:szCs w:val="34"/>
      <w:rFonts w:ascii="Times New Roman" w:eastAsia="Times New Roman" w:hAnsi="Times New Roman" w:cs="Times New Roman"/>
      <w:spacing w:val="30"/>
    </w:rPr>
  </w:style>
  <w:style w:type="paragraph" w:customStyle="1" w:styleId="Style37">
    <w:name w:val="Подпись к таблице"/>
    <w:basedOn w:val="Normal"/>
    <w:link w:val="CharStyle38"/>
    <w:pPr>
      <w:widowControl w:val="0"/>
      <w:shd w:val="clear" w:color="auto" w:fill="FFFFFF"/>
      <w:jc w:val="both"/>
      <w:spacing w:line="310" w:lineRule="exact"/>
      <w:ind w:firstLine="560"/>
    </w:pPr>
    <w:rPr>
      <w:b w:val="0"/>
      <w:bCs w:val="0"/>
      <w:i w:val="0"/>
      <w:iCs w:val="0"/>
      <w:u w:val="none"/>
      <w:strike w:val="0"/>
      <w:smallCaps w:val="0"/>
      <w:rFonts w:ascii="Times New Roman" w:eastAsia="Times New Roman" w:hAnsi="Times New Roman" w:cs="Times New Roman"/>
    </w:rPr>
  </w:style>
  <w:style w:type="paragraph" w:customStyle="1" w:styleId="Style41">
    <w:name w:val="Основной текст (7)"/>
    <w:basedOn w:val="Normal"/>
    <w:link w:val="CharStyle42"/>
    <w:pPr>
      <w:widowControl w:val="0"/>
      <w:shd w:val="clear" w:color="auto" w:fill="FFFFFF"/>
      <w:spacing w:before="180" w:line="0"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