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30" w:wrap="around" w:vAnchor="text" w:hAnchor="margin" w:x="3414" w:y="2384"/>
        <w:widowControl w:val="0"/>
        <w:keepNext w:val="0"/>
        <w:keepLines w:val="0"/>
        <w:shd w:val="clear" w:color="auto" w:fill="auto"/>
        <w:bidi w:val="0"/>
        <w:jc w:val="left"/>
        <w:spacing w:before="0" w:after="0" w:line="230" w:lineRule="exact"/>
        <w:ind w:left="0" w:right="0" w:firstLine="0"/>
      </w:pPr>
      <w:r>
        <w:rPr>
          <w:rStyle w:val="CharStyle5"/>
          <w:spacing w:val="0"/>
        </w:rPr>
        <w:t>.игжбы</w:t>
      </w:r>
    </w:p>
    <w:p>
      <w:pPr>
        <w:widowControl w:val="0"/>
        <w:rPr>
          <w:sz w:val="2"/>
          <w:szCs w:val="2"/>
        </w:rPr>
      </w:pPr>
    </w:p>
    <w:p>
      <w:pPr>
        <w:pStyle w:val="Style6"/>
        <w:widowControl w:val="0"/>
        <w:keepNext w:val="0"/>
        <w:keepLines w:val="0"/>
        <w:shd w:val="clear" w:color="auto" w:fill="auto"/>
        <w:bidi w:val="0"/>
        <w:spacing w:before="0" w:after="140"/>
        <w:ind w:left="0" w:right="0" w:firstLine="0"/>
      </w:pPr>
      <w:r>
        <w:rPr>
          <w:rStyle w:val="CharStyle8"/>
        </w:rPr>
        <w:t xml:space="preserve">ФЕДЕРАЛЬНАЯ АНТЛЬЛЬЛОЛС ЛЬ К </w:t>
      </w:r>
      <w:r>
        <w:rPr>
          <w:rStyle w:val="CharStyle9"/>
        </w:rPr>
        <w:t xml:space="preserve">А А </w:t>
      </w:r>
      <w:r>
        <w:rPr>
          <w:rStyle w:val="CharStyle8"/>
        </w:rPr>
        <w:t>ЛЛЛЛЛБа</w:t>
      </w:r>
    </w:p>
    <w:p>
      <w:pPr>
        <w:pStyle w:val="Style10"/>
        <w:widowControl w:val="0"/>
        <w:keepNext w:val="0"/>
        <w:keepLines w:val="0"/>
        <w:shd w:val="clear" w:color="auto" w:fill="auto"/>
        <w:bidi w:val="0"/>
        <w:jc w:val="left"/>
        <w:spacing w:before="0" w:after="0"/>
        <w:ind w:left="80" w:right="0"/>
      </w:pPr>
      <w:r>
        <w:rPr>
          <w:rStyle w:val="CharStyle12"/>
        </w:rPr>
        <w:t xml:space="preserve">Управление </w:t>
      </w:r>
      <w:r>
        <w:rPr>
          <w:rStyle w:val="CharStyle13"/>
        </w:rPr>
        <w:t>ФедЕральшш ашж»зн‘Зпэльнон с</w:t>
      </w:r>
    </w:p>
    <w:p>
      <w:pPr>
        <w:pStyle w:val="Style6"/>
        <w:widowControl w:val="0"/>
        <w:keepNext w:val="0"/>
        <w:keepLines w:val="0"/>
        <w:shd w:val="clear" w:color="auto" w:fill="auto"/>
        <w:bidi w:val="0"/>
        <w:spacing w:before="0" w:after="223" w:line="248" w:lineRule="exact"/>
        <w:ind w:left="0" w:right="0" w:firstLine="0"/>
      </w:pPr>
      <w:r>
        <w:rPr>
          <w:rStyle w:val="CharStyle14"/>
        </w:rPr>
        <w:t xml:space="preserve">о-э РсппуАшзгг Ишушетаж </w:t>
      </w:r>
      <w:r>
        <w:rPr>
          <w:rStyle w:val="CharStyle15"/>
        </w:rPr>
        <w:t>ТТнн</w:t>
      </w:r>
      <w:r>
        <w:rPr>
          <w:rStyle w:val="CharStyle16"/>
        </w:rPr>
        <w:t>у-УФАС</w:t>
      </w:r>
      <w:r>
        <w:rPr>
          <w:rStyle w:val="CharStyle14"/>
        </w:rPr>
        <w:t xml:space="preserve"> России</w:t>
      </w:r>
    </w:p>
    <w:p>
      <w:pPr>
        <w:pStyle w:val="Style17"/>
        <w:widowControl w:val="0"/>
        <w:keepNext w:val="0"/>
        <w:keepLines w:val="0"/>
        <w:shd w:val="clear" w:color="auto" w:fill="auto"/>
        <w:bidi w:val="0"/>
        <w:jc w:val="left"/>
        <w:spacing w:before="0" w:after="237" w:line="120" w:lineRule="exact"/>
        <w:ind w:left="1120" w:right="0" w:firstLine="0"/>
      </w:pPr>
      <w:r>
        <w:rPr>
          <w:rStyle w:val="CharStyle19"/>
        </w:rPr>
        <w:t>-■JL</w:t>
      </w:r>
      <w:r>
        <w:rPr>
          <w:rStyle w:val="CharStyle20"/>
        </w:rPr>
        <w:t xml:space="preserve"> </w:t>
      </w:r>
      <w:r>
        <w:rPr>
          <w:rStyle w:val="CharStyle20"/>
          <w:lang w:val="ru-RU" w:eastAsia="ru-RU" w:bidi="ru-RU"/>
        </w:rPr>
        <w:t xml:space="preserve">IX ' </w:t>
      </w:r>
      <w:r>
        <w:rPr>
          <w:rStyle w:val="CharStyle20"/>
        </w:rPr>
        <w:t xml:space="preserve">1—-.L </w:t>
      </w:r>
      <w:r>
        <w:rPr>
          <w:rStyle w:val="CharStyle20"/>
          <w:lang w:val="ru-RU" w:eastAsia="ru-RU" w:bidi="ru-RU"/>
        </w:rPr>
        <w:t>3.</w:t>
      </w:r>
    </w:p>
    <w:p>
      <w:pPr>
        <w:pStyle w:val="Style21"/>
        <w:widowControl w:val="0"/>
        <w:keepNext w:val="0"/>
        <w:keepLines w:val="0"/>
        <w:shd w:val="clear" w:color="auto" w:fill="auto"/>
        <w:bidi w:val="0"/>
        <w:jc w:val="left"/>
        <w:spacing w:before="0" w:after="155" w:line="170" w:lineRule="exact"/>
        <w:ind w:left="460" w:right="0" w:firstLine="0"/>
      </w:pPr>
      <w:r>
        <w:rPr>
          <w:rStyle w:val="CharStyle23"/>
        </w:rPr>
        <w:t xml:space="preserve">ТНЕ. </w:t>
      </w:r>
      <w:r>
        <w:rPr>
          <w:rStyle w:val="CharStyle24"/>
        </w:rPr>
        <w:t>Ь</w:t>
      </w:r>
    </w:p>
    <w:p>
      <w:pPr>
        <w:pStyle w:val="Style25"/>
        <w:tabs>
          <w:tab w:leader="none" w:pos="2174" w:val="right"/>
        </w:tabs>
        <w:widowControl w:val="0"/>
        <w:keepNext/>
        <w:keepLines/>
        <w:shd w:val="clear" w:color="auto" w:fill="auto"/>
        <w:bidi w:val="0"/>
        <w:spacing w:before="0" w:after="0" w:line="260" w:lineRule="exact"/>
        <w:ind w:left="0" w:right="0" w:firstLine="0"/>
      </w:pPr>
      <w:bookmarkStart w:id="0" w:name="bookmark0"/>
      <w:r>
        <w:rPr>
          <w:rStyle w:val="CharStyle27"/>
          <w:i/>
          <w:iCs/>
        </w:rPr>
        <w:t>15.</w:t>
      </w:r>
      <w:r>
        <w:rPr>
          <w:rStyle w:val="CharStyle28"/>
          <w:i/>
          <w:iCs/>
        </w:rPr>
        <w:t>О1К&gt;10</w:t>
        <w:tab/>
      </w:r>
      <w:r>
        <w:rPr>
          <w:rStyle w:val="CharStyle29"/>
          <w:i/>
          <w:iCs/>
        </w:rPr>
        <w:t>~</w:t>
      </w:r>
      <w:bookmarkEnd w:id="0"/>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«Аспект»</w:t>
      </w:r>
    </w:p>
    <w:p>
      <w:pPr>
        <w:pStyle w:val="Style3"/>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г. Барнаул, ул. Малахова, д. 164 </w:t>
      </w:r>
      <w:r>
        <w:rPr>
          <w:lang w:val="en-US" w:eastAsia="en-US" w:bidi="en-US"/>
          <w:w w:val="100"/>
          <w:spacing w:val="0"/>
          <w:color w:val="000000"/>
          <w:position w:val="0"/>
        </w:rPr>
        <w:t xml:space="preserve">OOO_Aspekt_201 </w:t>
      </w:r>
      <w:r>
        <w:fldChar w:fldCharType="begin"/>
      </w:r>
      <w:r>
        <w:rPr>
          <w:color w:val="000000"/>
        </w:rPr>
        <w:instrText> HYPERLINK "mailto:l@mail.ru" </w:instrText>
      </w:r>
      <w:r>
        <w:fldChar w:fldCharType="separate"/>
      </w:r>
      <w:r>
        <w:rPr>
          <w:rStyle w:val="Hyperlink"/>
          <w:lang w:val="en-US" w:eastAsia="en-US" w:bidi="en-US"/>
          <w:w w:val="100"/>
          <w:spacing w:val="0"/>
          <w:position w:val="0"/>
        </w:rPr>
        <w:t>l@mail.ru</w:t>
      </w:r>
      <w:r>
        <w:fldChar w:fldCharType="end"/>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ФГБОУ ВО «Ингушский государственный университет»</w:t>
      </w:r>
    </w:p>
    <w:p>
      <w:pPr>
        <w:pStyle w:val="Style3"/>
        <w:widowControl w:val="0"/>
        <w:keepNext w:val="0"/>
        <w:keepLines w:val="0"/>
        <w:shd w:val="clear" w:color="auto" w:fill="auto"/>
        <w:bidi w:val="0"/>
        <w:jc w:val="left"/>
        <w:spacing w:before="0" w:after="283"/>
        <w:ind w:left="20" w:right="0" w:firstLine="0"/>
      </w:pPr>
      <w:r>
        <w:rPr>
          <w:lang w:val="ru-RU" w:eastAsia="ru-RU" w:bidi="ru-RU"/>
          <w:w w:val="100"/>
          <w:spacing w:val="0"/>
          <w:color w:val="000000"/>
          <w:position w:val="0"/>
        </w:rPr>
        <w:t xml:space="preserve">386001, РИ, Магас г, пр-кт И. Зязикова, д. 7 </w:t>
      </w:r>
      <w:r>
        <w:fldChar w:fldCharType="begin"/>
      </w:r>
      <w:r>
        <w:rPr>
          <w:color w:val="000000"/>
        </w:rPr>
        <w:instrText> HYPERLINK "mailto:ing_gu@mail.ru" </w:instrText>
      </w:r>
      <w:r>
        <w:fldChar w:fldCharType="separate"/>
      </w:r>
      <w:r>
        <w:rPr>
          <w:rStyle w:val="Hyperlink"/>
          <w:lang w:val="en-US" w:eastAsia="en-US" w:bidi="en-US"/>
          <w:w w:val="100"/>
          <w:spacing w:val="0"/>
          <w:position w:val="0"/>
        </w:rPr>
        <w:t>ing_gu@mail.ru</w:t>
      </w:r>
      <w:r>
        <w:fldChar w:fldCharType="end"/>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Электронная торговая площадка:</w:t>
      </w:r>
    </w:p>
    <w:p>
      <w:pPr>
        <w:pStyle w:val="Style3"/>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535" w:left="979" w:right="1004" w:bottom="931" w:header="0" w:footer="3" w:gutter="0"/>
          <w:rtlGutter w:val="0"/>
          <w:cols w:num="2" w:space="720" w:equalWidth="0">
            <w:col w:w="4007" w:space="731"/>
            <w:col w:w="5184"/>
          </w:cols>
          <w:noEndnote/>
          <w:docGrid w:linePitch="360"/>
        </w:sectPr>
      </w:pPr>
      <w:r>
        <w:rPr>
          <w:lang w:val="ru-RU" w:eastAsia="ru-RU" w:bidi="ru-RU"/>
          <w:w w:val="100"/>
          <w:spacing w:val="0"/>
          <w:color w:val="000000"/>
          <w:position w:val="0"/>
        </w:rPr>
        <w:t xml:space="preserve">РТС-тендер </w:t>
      </w:r>
      <w:r>
        <w:rPr>
          <w:lang w:val="en-US" w:eastAsia="en-US" w:bidi="en-US"/>
          <w:w w:val="100"/>
          <w:spacing w:val="0"/>
          <w:color w:val="000000"/>
          <w:position w:val="0"/>
        </w:rPr>
        <w:t>(</w:t>
      </w:r>
      <w:r>
        <w:fldChar w:fldCharType="begin"/>
      </w:r>
      <w:r>
        <w:rPr>
          <w:color w:val="000000"/>
        </w:rPr>
        <w:instrText> HYPERLINK "http://www.rts-tender.ru" </w:instrText>
      </w:r>
      <w:r>
        <w:fldChar w:fldCharType="separate"/>
      </w:r>
      <w:r>
        <w:rPr>
          <w:rStyle w:val="Hyperlink"/>
          <w:lang w:val="en-US" w:eastAsia="en-US" w:bidi="en-US"/>
          <w:w w:val="100"/>
          <w:spacing w:val="0"/>
          <w:position w:val="0"/>
        </w:rPr>
        <w:t>http://www.rts-tender.ru</w:t>
      </w:r>
      <w:r>
        <w:fldChar w:fldCharType="end"/>
      </w:r>
      <w:r>
        <w:rPr>
          <w:lang w:val="en-US" w:eastAsia="en-US" w:bidi="en-US"/>
          <w:w w:val="100"/>
          <w:spacing w:val="0"/>
          <w:color w:val="000000"/>
          <w:position w:val="0"/>
        </w:rPr>
        <w: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310" w:lineRule="exact"/>
        <w:ind w:left="0" w:right="820" w:firstLine="0"/>
      </w:pPr>
      <w:r>
        <w:rPr>
          <w:lang w:val="ru-RU" w:eastAsia="ru-RU" w:bidi="ru-RU"/>
          <w:w w:val="100"/>
          <w:spacing w:val="0"/>
          <w:color w:val="000000"/>
          <w:position w:val="0"/>
        </w:rPr>
        <w:t>РЕШЕНИЕ по делу №006/06/64-416/2020 о нарушении законодательства о контрактной системе</w:t>
      </w:r>
    </w:p>
    <w:p>
      <w:pPr>
        <w:pStyle w:val="Style3"/>
        <w:widowControl w:val="0"/>
        <w:keepNext w:val="0"/>
        <w:keepLines w:val="0"/>
        <w:shd w:val="clear" w:color="auto" w:fill="auto"/>
        <w:bidi w:val="0"/>
        <w:jc w:val="right"/>
        <w:spacing w:before="0" w:after="0" w:line="310" w:lineRule="exact"/>
        <w:ind w:left="0" w:right="20" w:firstLine="0"/>
      </w:pPr>
      <w:r>
        <w:rPr>
          <w:lang w:val="ru-RU" w:eastAsia="ru-RU" w:bidi="ru-RU"/>
          <w:w w:val="100"/>
          <w:spacing w:val="0"/>
          <w:color w:val="000000"/>
          <w:position w:val="0"/>
        </w:rPr>
        <w:t>г. Назрань</w:t>
      </w:r>
    </w:p>
    <w:p>
      <w:pPr>
        <w:pStyle w:val="Style3"/>
        <w:widowControl w:val="0"/>
        <w:keepNext w:val="0"/>
        <w:keepLines w:val="0"/>
        <w:shd w:val="clear" w:color="auto" w:fill="auto"/>
        <w:bidi w:val="0"/>
        <w:jc w:val="left"/>
        <w:spacing w:before="0" w:after="240"/>
        <w:ind w:left="20" w:right="1000" w:firstLine="0"/>
      </w:pPr>
      <w:r>
        <w:rPr>
          <w:lang w:val="ru-RU" w:eastAsia="ru-RU" w:bidi="ru-RU"/>
          <w:w w:val="100"/>
          <w:spacing w:val="0"/>
          <w:color w:val="000000"/>
          <w:position w:val="0"/>
        </w:rPr>
        <w:t>Резолютивная часть решения объявлена 10 июля 2020 года В полном объеме решение изготовлено 15 июля 2020 года</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3"/>
        <w:widowControl w:val="0"/>
        <w:keepNext w:val="0"/>
        <w:keepLines w:val="0"/>
        <w:shd w:val="clear" w:color="auto" w:fill="auto"/>
        <w:bidi w:val="0"/>
        <w:jc w:val="both"/>
        <w:spacing w:before="0" w:after="0" w:line="310" w:lineRule="exact"/>
        <w:ind w:left="20" w:right="0" w:firstLine="0"/>
      </w:pPr>
      <w:r>
        <w:rPr>
          <w:lang w:val="ru-RU" w:eastAsia="ru-RU" w:bidi="ru-RU"/>
          <w:w w:val="100"/>
          <w:spacing w:val="0"/>
          <w:color w:val="000000"/>
          <w:position w:val="0"/>
        </w:rPr>
        <w:t>Председатель комиссии: Р.В. Евлоев - заместитель руководителя Управления;</w:t>
      </w:r>
    </w:p>
    <w:p>
      <w:pPr>
        <w:pStyle w:val="Style3"/>
        <w:widowControl w:val="0"/>
        <w:keepNext w:val="0"/>
        <w:keepLines w:val="0"/>
        <w:shd w:val="clear" w:color="auto" w:fill="auto"/>
        <w:bidi w:val="0"/>
        <w:jc w:val="both"/>
        <w:spacing w:before="0" w:after="0" w:line="310" w:lineRule="exact"/>
        <w:ind w:left="20" w:right="0" w:firstLine="0"/>
      </w:pPr>
      <w:r>
        <w:rPr>
          <w:lang w:val="ru-RU" w:eastAsia="ru-RU" w:bidi="ru-RU"/>
          <w:w w:val="100"/>
          <w:spacing w:val="0"/>
          <w:color w:val="000000"/>
          <w:position w:val="0"/>
        </w:rPr>
        <w:t>Члены комиссии: К.Х. Бекбузаров - главный специалист-эксперт Управления;</w:t>
      </w:r>
    </w:p>
    <w:p>
      <w:pPr>
        <w:pStyle w:val="Style3"/>
        <w:widowControl w:val="0"/>
        <w:keepNext w:val="0"/>
        <w:keepLines w:val="0"/>
        <w:shd w:val="clear" w:color="auto" w:fill="auto"/>
        <w:bidi w:val="0"/>
        <w:jc w:val="left"/>
        <w:spacing w:before="0" w:after="0" w:line="310" w:lineRule="exact"/>
        <w:ind w:left="2020" w:right="0" w:firstLine="0"/>
      </w:pPr>
      <w:r>
        <w:rPr>
          <w:lang w:val="ru-RU" w:eastAsia="ru-RU" w:bidi="ru-RU"/>
          <w:w w:val="100"/>
          <w:spacing w:val="0"/>
          <w:color w:val="000000"/>
          <w:position w:val="0"/>
        </w:rPr>
        <w:t>И.И. Балкоев -государственный инспектор Управления;</w:t>
      </w:r>
    </w:p>
    <w:p>
      <w:pPr>
        <w:pStyle w:val="Style3"/>
        <w:tabs>
          <w:tab w:leader="none" w:pos="4887" w:val="center"/>
          <w:tab w:leader="none" w:pos="5823" w:val="center"/>
          <w:tab w:leader="none" w:pos="7054" w:val="center"/>
          <w:tab w:leader="none" w:pos="10043" w:val="right"/>
        </w:tabs>
        <w:widowControl w:val="0"/>
        <w:keepNext w:val="0"/>
        <w:keepLines w:val="0"/>
        <w:shd w:val="clear" w:color="auto" w:fill="auto"/>
        <w:bidi w:val="0"/>
        <w:jc w:val="both"/>
        <w:spacing w:before="0" w:after="0" w:line="310" w:lineRule="exact"/>
        <w:ind w:left="20" w:right="0" w:firstLine="0"/>
      </w:pPr>
      <w:r>
        <w:rPr>
          <w:lang w:val="ru-RU" w:eastAsia="ru-RU" w:bidi="ru-RU"/>
          <w:w w:val="100"/>
          <w:spacing w:val="0"/>
          <w:color w:val="000000"/>
          <w:position w:val="0"/>
        </w:rPr>
        <w:t>В присутствии представителей:</w:t>
        <w:tab/>
        <w:t>ФЕБОУ</w:t>
        <w:tab/>
        <w:t>ВО</w:t>
        <w:tab/>
        <w:t>«Ингушский</w:t>
        <w:tab/>
        <w:t>государственный</w:t>
      </w:r>
    </w:p>
    <w:p>
      <w:pPr>
        <w:pStyle w:val="Style3"/>
        <w:widowControl w:val="0"/>
        <w:keepNext w:val="0"/>
        <w:keepLines w:val="0"/>
        <w:shd w:val="clear" w:color="auto" w:fill="auto"/>
        <w:bidi w:val="0"/>
        <w:jc w:val="both"/>
        <w:spacing w:before="0" w:after="0" w:line="310" w:lineRule="exact"/>
        <w:ind w:left="20" w:right="0" w:firstLine="0"/>
      </w:pPr>
      <w:r>
        <w:rPr>
          <w:lang w:val="ru-RU" w:eastAsia="ru-RU" w:bidi="ru-RU"/>
          <w:w w:val="100"/>
          <w:spacing w:val="0"/>
          <w:color w:val="000000"/>
          <w:position w:val="0"/>
        </w:rPr>
        <w:t>университет» (далее - Заказчик) - И.И. Еандалоев (по доверенности),</w:t>
      </w:r>
    </w:p>
    <w:p>
      <w:pPr>
        <w:pStyle w:val="Style3"/>
        <w:widowControl w:val="0"/>
        <w:keepNext w:val="0"/>
        <w:keepLines w:val="0"/>
        <w:shd w:val="clear" w:color="auto" w:fill="auto"/>
        <w:bidi w:val="0"/>
        <w:jc w:val="both"/>
        <w:spacing w:before="0" w:after="0" w:line="310" w:lineRule="exact"/>
        <w:ind w:left="20" w:right="20" w:firstLine="0"/>
      </w:pPr>
      <w:r>
        <w:rPr>
          <w:lang w:val="ru-RU" w:eastAsia="ru-RU" w:bidi="ru-RU"/>
          <w:w w:val="100"/>
          <w:spacing w:val="0"/>
          <w:color w:val="000000"/>
          <w:position w:val="0"/>
        </w:rPr>
        <w:t>В отсутствии представителей: заявителя жалобы - общества с ограниченной ответственностью «Аспект» (далее - Заявитель),</w:t>
      </w:r>
    </w:p>
    <w:p>
      <w:pPr>
        <w:pStyle w:val="Style3"/>
        <w:widowControl w:val="0"/>
        <w:keepNext w:val="0"/>
        <w:keepLines w:val="0"/>
        <w:shd w:val="clear" w:color="auto" w:fill="auto"/>
        <w:bidi w:val="0"/>
        <w:jc w:val="both"/>
        <w:spacing w:before="0" w:after="0" w:line="310" w:lineRule="exact"/>
        <w:ind w:left="20" w:right="0" w:firstLine="0"/>
      </w:pPr>
      <w:r>
        <w:rPr>
          <w:lang w:val="ru-RU" w:eastAsia="ru-RU" w:bidi="ru-RU"/>
          <w:w w:val="100"/>
          <w:spacing w:val="0"/>
          <w:color w:val="000000"/>
          <w:position w:val="0"/>
        </w:rPr>
        <w:t>все стороны уведомлены надлежащим образом, заявлений и ходатайств не поступало.</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Рассмотрев жалобу Заявителя на действия (бездействия) Заказчика при проведении процедуры закупки способом электронного аукциона №0314100000520000003 капитальный ремонт корпусов ИнгГУ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3"/>
        <w:tabs>
          <w:tab w:leader="none" w:pos="10043" w:val="right"/>
        </w:tabs>
        <w:widowControl w:val="0"/>
        <w:keepNext w:val="0"/>
        <w:keepLines w:val="0"/>
        <w:shd w:val="clear" w:color="auto" w:fill="auto"/>
        <w:bidi w:val="0"/>
        <w:jc w:val="both"/>
        <w:spacing w:before="0" w:after="0" w:line="310" w:lineRule="exact"/>
        <w:ind w:left="4500" w:right="0" w:firstLine="0"/>
      </w:pPr>
      <w:r>
        <w:rPr>
          <w:lang w:val="ru-RU" w:eastAsia="ru-RU" w:bidi="ru-RU"/>
          <w:w w:val="100"/>
          <w:spacing w:val="0"/>
          <w:color w:val="000000"/>
          <w:position w:val="0"/>
        </w:rPr>
        <w:t>УСТАНОВИЛА:</w:t>
        <w:tab/>
      </w:r>
      <w:r>
        <w:rPr>
          <w:rStyle w:val="CharStyle31"/>
        </w:rPr>
        <w:t>0003092</w:t>
      </w:r>
      <w:r>
        <w:br w:type="page"/>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Заказчиком в единой информационной системе в сети Интернет по размещению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размещены извещение и документация о проведении Закупки.</w:t>
      </w:r>
    </w:p>
    <w:p>
      <w:pPr>
        <w:pStyle w:val="Style3"/>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Суть жалобы Заявителя сводится к следующему:</w:t>
      </w:r>
    </w:p>
    <w:p>
      <w:pPr>
        <w:pStyle w:val="Style3"/>
        <w:numPr>
          <w:ilvl w:val="0"/>
          <w:numId w:val="1"/>
        </w:numPr>
        <w:tabs>
          <w:tab w:leader="none" w:pos="1355" w:val="left"/>
        </w:tabs>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Указанный в документации график выполнения строительно-монтажных работ не соответствует Методики составления графика выполнения строительно</w:t>
        <w:softHyphen/>
        <w:t>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pPr>
        <w:pStyle w:val="Style3"/>
        <w:numPr>
          <w:ilvl w:val="0"/>
          <w:numId w:val="1"/>
        </w:numPr>
        <w:tabs>
          <w:tab w:leader="none" w:pos="1355" w:val="left"/>
        </w:tabs>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Проектно-сметная документация размещена не в полном объеме;</w:t>
      </w:r>
    </w:p>
    <w:p>
      <w:pPr>
        <w:pStyle w:val="Style3"/>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Заказчиком не представлено письменное мотивированное пояснение по жалобе.</w:t>
      </w:r>
    </w:p>
    <w:p>
      <w:pPr>
        <w:pStyle w:val="Style3"/>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В результате рассмотрения жалобы и осуществления в соответствии с пунктом 1</w:t>
      </w:r>
    </w:p>
    <w:p>
      <w:pPr>
        <w:pStyle w:val="Style3"/>
        <w:widowControl w:val="0"/>
        <w:keepNext w:val="0"/>
        <w:keepLines w:val="0"/>
        <w:shd w:val="clear" w:color="auto" w:fill="auto"/>
        <w:bidi w:val="0"/>
        <w:jc w:val="both"/>
        <w:spacing w:before="0" w:after="0" w:line="310" w:lineRule="exact"/>
        <w:ind w:left="20" w:right="20" w:firstLine="0"/>
      </w:pPr>
      <w:r>
        <w:rPr>
          <w:lang w:val="ru-RU" w:eastAsia="ru-RU" w:bidi="ru-RU"/>
          <w:w w:val="100"/>
          <w:spacing w:val="0"/>
          <w:color w:val="000000"/>
          <w:position w:val="0"/>
        </w:rPr>
        <w:t>части 15 статьи 99 Закона о контрактной системе внеплановой проверки Комиссия Управления установила следующее:</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3"/>
        <w:numPr>
          <w:ilvl w:val="0"/>
          <w:numId w:val="3"/>
        </w:numPr>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 xml:space="preserve"> извещение об осуществлении закупки размещено в ЕИС - 11.06.2020 г;</w:t>
      </w:r>
    </w:p>
    <w:p>
      <w:pPr>
        <w:pStyle w:val="Style3"/>
        <w:numPr>
          <w:ilvl w:val="0"/>
          <w:numId w:val="3"/>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способ определения поставщика (подрядчика, исполнителя) - Электронный аукцион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p>
    <w:p>
      <w:pPr>
        <w:pStyle w:val="Style3"/>
        <w:numPr>
          <w:ilvl w:val="0"/>
          <w:numId w:val="3"/>
        </w:numPr>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 xml:space="preserve"> начальная (максимальная) цена контракта - 75 552 640,00 рублей;</w:t>
      </w:r>
    </w:p>
    <w:p>
      <w:pPr>
        <w:pStyle w:val="Style3"/>
        <w:numPr>
          <w:ilvl w:val="0"/>
          <w:numId w:val="3"/>
        </w:numPr>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 xml:space="preserve"> дата и время окончания подачи заявок - 19.06.2020г. 09:00;</w:t>
      </w:r>
    </w:p>
    <w:p>
      <w:pPr>
        <w:pStyle w:val="Style3"/>
        <w:numPr>
          <w:ilvl w:val="0"/>
          <w:numId w:val="3"/>
        </w:numPr>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 xml:space="preserve"> дата проведения аукциона в электронной форме - 19.06.2020г.</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Рассмотрев представленные материалы, Комиссия Управления пришла к следующим выводам.</w:t>
      </w:r>
    </w:p>
    <w:p>
      <w:pPr>
        <w:pStyle w:val="Style3"/>
        <w:numPr>
          <w:ilvl w:val="0"/>
          <w:numId w:val="5"/>
        </w:numPr>
        <w:tabs>
          <w:tab w:leader="none" w:pos="934" w:val="left"/>
        </w:tabs>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Пунктом 1 части 13 статьи 34 установлено, что в контракт включаются обязательные условия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 частью 4 статьи 33 настоящего Федерального закона требований к их предоставлению.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Приказом Минстроя России от 05.06.2018 </w:t>
      </w:r>
      <w:r>
        <w:rPr>
          <w:lang w:val="en-US" w:eastAsia="en-US" w:bidi="en-US"/>
          <w:w w:val="100"/>
          <w:spacing w:val="0"/>
          <w:color w:val="000000"/>
          <w:position w:val="0"/>
        </w:rPr>
        <w:t xml:space="preserve">N </w:t>
      </w:r>
      <w:r>
        <w:rPr>
          <w:lang w:val="ru-RU" w:eastAsia="ru-RU" w:bidi="ru-RU"/>
          <w:w w:val="100"/>
          <w:spacing w:val="0"/>
          <w:color w:val="000000"/>
          <w:position w:val="0"/>
        </w:rPr>
        <w:t xml:space="preserve">336/пр «Об утверждении Методики составления графика выполнения строительно-монтажных работ' и графика оплаты выполненных по контракту (договору), </w:t>
      </w:r>
      <w:r>
        <w:rPr>
          <w:rStyle w:val="CharStyle32"/>
        </w:rPr>
        <w:t>предметом которого являются строительство,</w:t>
      </w:r>
      <w:r>
        <w:rPr>
          <w:lang w:val="ru-RU" w:eastAsia="ru-RU" w:bidi="ru-RU"/>
          <w:w w:val="100"/>
          <w:spacing w:val="0"/>
          <w:color w:val="000000"/>
          <w:position w:val="0"/>
        </w:rPr>
        <w:t xml:space="preserve"> </w:t>
      </w:r>
      <w:r>
        <w:rPr>
          <w:rStyle w:val="CharStyle32"/>
        </w:rPr>
        <w:t>реконструкция объектов капитального строительства</w:t>
      </w:r>
      <w:r>
        <w:rPr>
          <w:lang w:val="ru-RU" w:eastAsia="ru-RU" w:bidi="ru-RU"/>
          <w:w w:val="100"/>
          <w:spacing w:val="0"/>
          <w:color w:val="000000"/>
          <w:position w:val="0"/>
        </w:rPr>
        <w:t>, работ» (далее - Приказ №336/пр) утверждена Методика составления графика выполнения строительно</w:t>
        <w:softHyphen/>
        <w:t xml:space="preserve">монтажных работ и графика оплаты выполненных по контракту (договору), </w:t>
      </w:r>
      <w:r>
        <w:rPr>
          <w:rStyle w:val="CharStyle32"/>
        </w:rPr>
        <w:t>предметом которого являются строительство, реконструкция объектов капитального</w:t>
      </w:r>
      <w:r>
        <w:rPr>
          <w:lang w:val="ru-RU" w:eastAsia="ru-RU" w:bidi="ru-RU"/>
          <w:w w:val="100"/>
          <w:spacing w:val="0"/>
          <w:color w:val="000000"/>
          <w:position w:val="0"/>
        </w:rPr>
        <w:t xml:space="preserve"> </w:t>
      </w:r>
      <w:r>
        <w:rPr>
          <w:rStyle w:val="CharStyle32"/>
        </w:rPr>
        <w:t>строительства</w:t>
      </w:r>
      <w:r>
        <w:rPr>
          <w:lang w:val="ru-RU" w:eastAsia="ru-RU" w:bidi="ru-RU"/>
          <w:w w:val="100"/>
          <w:spacing w:val="0"/>
          <w:color w:val="000000"/>
          <w:position w:val="0"/>
        </w:rPr>
        <w:t>, работ (далее - Методика).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пункту 2.9 раздела 2 «Составление графика выполнения строительно- монтажных работ» Методики,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следующие события:</w:t>
      </w:r>
    </w:p>
    <w:p>
      <w:pPr>
        <w:pStyle w:val="Style3"/>
        <w:numPr>
          <w:ilvl w:val="0"/>
          <w:numId w:val="7"/>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3"/>
        <w:numPr>
          <w:ilvl w:val="0"/>
          <w:numId w:val="7"/>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 технического обеспечения в соответствии с проектом организации строительства;</w:t>
      </w:r>
    </w:p>
    <w:p>
      <w:pPr>
        <w:pStyle w:val="Style3"/>
        <w:numPr>
          <w:ilvl w:val="0"/>
          <w:numId w:val="7"/>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3"/>
        <w:numPr>
          <w:ilvl w:val="0"/>
          <w:numId w:val="7"/>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3"/>
        <w:numPr>
          <w:ilvl w:val="0"/>
          <w:numId w:val="7"/>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подписание акта о соответствии состояния земельного участка условиям контракта при завершении строительства, реконструкции объекта.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Вместе с тем Комиссией Управления установлено, что действие Приказа №336/пр распространяется на контракты предметом которых являются строительство, реконструкция объектов капитального строительства, однако в данной Закупке объектом является капитальный ремонт, ввиду чего Заказчик не руководствуется положениями Приказа №336/пр.</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При этом, Комиссией Управления также установлено, что в составе аукционной документации приложен План-график производства работ по объекту "«Капитальный ремонт корпусов ИнгГУ»".</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На основании вышеизложенного Комиссией Управления довод жалобы признан необоснованным.</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2. В силу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Пунктом 8 части 1 статьи 33 Закона о контрактной системе предусмотрено, что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части 1 статьи 33 Закона о контрактной системе.</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требованиям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части 1 статьи 766 Гражданского кодекса Российской Федерации (далее - ГК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соответствии с частью 1 статьи 743 ГК РФ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силу части 2 статьи 743 ГК РФ договором строительного подряда должны быть определены состав и содержание технической документации, а также должно быть предусмотрено, какая из сторон и в какой срок должна предоставить соответствующую документацию.</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части 2 статьи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силу пункта 4 части 12 статьи 48 ГрК РФ в состав проектной документации объектов капитального строительства с учетом особенностей, предусмотренных частью 13 статьи 48 ГрК РФ, включается проект организации строительства объектов капитального строительства.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Частью 13 статьи 48 ГрК РФ определено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 и дифференцируются применительно к различным видам объектов капитального строительства (в том числе к линейным объектам), а также в зависимости от назначения объектов капитального строительства, видов работ (строительство, реконструкция, капитальный ремонт объектов капитального строительства), их содержания, источников финансирования работ и выделения отдельных этапов строительства, реконструкции в соответствии с требованиями статьи 48 ГрК РФ.</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Постановлением Правительства РФ от 16.02.2008 № 87 «О составе разделов проектной документации и требованиях к их содержанию» (далее - Постановление Правительства РФ от 16.02.2008 № 87) утверждено Положение о составе разделов проектной документации и требованиях к их содержанию (далее - Положение).</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пунктам 1, 2 раздела 1 Положения настоящее Положение устанавливает состав разделов проектной документации и требования к содержанию этих разделов: а) при подготовке проектной документации на различные виды объектов капитального строительства; б) при подготовке проектной документации в отношении отдельных этапов строительства, реконструкции и капитального ремонта объектов капитального строительства (далее - строительство).</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целях настоящего Положения объекты капитального строительства в зависимости от функционального назначения и характерных признаков подразделяются на следующие виды: а) объекты производственного назначения (здания, строения, сооружения производственного назначения, в том числе объекты обороны и безопасности), за исключением линейных объектов; б) объекты непроизводственного назначения (здания, строения, сооружения жилищного фонда, социально-культурного и коммунально-бытового назначения, а также иные объекты капитального строительства непроизводственного назначения); в) линейные объекты (трубопроводы, автомобильные и железные дороги, линии электропередачи и др.).</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Пунктом 3 раздела 1 Положения установлено, что проектная документация состоит из текстовой и графической частей.</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При этом, текстовая часть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Графическая часть отображает принятые технические и иные решения и выполняется в виде чертежей, схем, планов и других документов в графической форме.</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Требования к содержанию разделов и состав проектной документации на объекты капитального строительства производственного и непроизводственного назначения определены пунктами 10-32 раздела II Положения. При этом, проектная документация на объекты капитального строительства производственного и непроизводственного назначения состоит из следующих 12 разделов: Раздел 1 «Пояснительная записка»; Раздел 2 «Схема планировочной организации земельного участка»; Раздел 3 «Архитектурные решения»; Раздел 4 «Конструктивные и объемно</w:t>
        <w:softHyphen/>
        <w:t>планировочные решения»; 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Раздел 6 «Проект организации строительства»; Раздел 7 «Проект организации работ по сносу или демонтажу объектов капитального строительства»; Раздел 8 «Перечень мероприятий по охране окружающей среды»; Раздел 9 «Мероприятия по обеспечению пожарной безопасности»; Раздел 10 «Мероприятия по обеспечению доступа инвалидов»; Раздел 11 «Смета на строительство объектов капитального строительства»; Раздел 12 «Иная документация в случаях, предусмотренных федеральными законами».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Таким образом, только размещение проектной документации в полном объеме может свидетельствовать о соблюдении заказчиком требований, установленных законодательством о контрактной системе к описанию объекта закупки.</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При этом в ходе изучения проектно-сметной документации, размещенной в извещении о проведении электронного аукциона №0314100000520000003, Комиссией Управления не выявлены нарушения требований Закона о контрактной системе в части неразмещения Заказчиком в Единой информационной системе в сфере закупок проектно-сметной документации в полном объеме.</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 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3"/>
        <w:widowControl w:val="0"/>
        <w:keepNext w:val="0"/>
        <w:keepLines w:val="0"/>
        <w:shd w:val="clear" w:color="auto" w:fill="auto"/>
        <w:bidi w:val="0"/>
        <w:jc w:val="both"/>
        <w:spacing w:before="0" w:after="66"/>
        <w:ind w:left="20" w:right="20" w:firstLine="560"/>
      </w:pPr>
      <w:r>
        <w:rPr>
          <w:lang w:val="ru-RU" w:eastAsia="ru-RU" w:bidi="ru-RU"/>
          <w:w w:val="100"/>
          <w:spacing w:val="0"/>
          <w:color w:val="000000"/>
          <w:position w:val="0"/>
        </w:rPr>
        <w:t>Вместе с тем, на рассмотрение жалобы по существу представитель Заявителя не явился, иных документов и информацию, подтверждающих обоснованность доводов жалобы не представил.</w:t>
      </w:r>
    </w:p>
    <w:p>
      <w:pPr>
        <w:pStyle w:val="Style3"/>
        <w:widowControl w:val="0"/>
        <w:keepNext w:val="0"/>
        <w:keepLines w:val="0"/>
        <w:shd w:val="clear" w:color="auto" w:fill="auto"/>
        <w:bidi w:val="0"/>
        <w:jc w:val="both"/>
        <w:spacing w:before="0" w:after="57" w:line="306" w:lineRule="exact"/>
        <w:ind w:left="20" w:right="20" w:firstLine="560"/>
      </w:pPr>
      <w:r>
        <w:rPr>
          <w:lang w:val="ru-RU" w:eastAsia="ru-RU" w:bidi="ru-RU"/>
          <w:w w:val="100"/>
          <w:spacing w:val="0"/>
          <w:color w:val="000000"/>
          <w:position w:val="0"/>
        </w:rPr>
        <w:t>При проведении внеплановой проверки на основании пункта 1 части 15 статьи 99 Закона о контрактной системе Комиссией Управления выявлены следующие нарушения.</w:t>
      </w:r>
    </w:p>
    <w:p>
      <w:pPr>
        <w:pStyle w:val="Style3"/>
        <w:numPr>
          <w:ilvl w:val="0"/>
          <w:numId w:val="9"/>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В соответствии со статьей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пункту 7 статьи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Из смысла части 1 статьи 64 Закона о контрактной системе следует, что информация, содержащаяся в документации об электронном аукционе и в извещении о его проведении, должны соответствовать друг другу.</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Так в извещении установлено: размер обеспечения заявок - 3 777 632,00 рублей, а в пункте 12 информационной карты аукционной документации установлено: размер обеспечения заявки на участие в электронном аукционе: 5 % от начальной (максимальной) цены контракта - 3 777 630 рублей 00 коп.</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Таким образом, Заказчиком в нарушение статьи 7 и части 1 статьи 64 Закона о контрактной системе, указаны различные суммы обеспечения заявок (числовое значение не соответствует значению, указанному прописью).</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Вместе с тем, данное нарушение не повлияло на результат определения поставщика (подрядчика, исполнителя).</w:t>
      </w:r>
    </w:p>
    <w:p>
      <w:pPr>
        <w:pStyle w:val="Style3"/>
        <w:numPr>
          <w:ilvl w:val="0"/>
          <w:numId w:val="9"/>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В соответствии со статьей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части 7 статьи 30 Закона о контрактной системе,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Вышеуказанные приложения закона регулируются Постановлением Правительства РФ от 23.12.2016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Пунктом 5 Постановления №1466 предусмотрено, что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 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соответствии с Постановлением № 1466 в проекте контракта Закупки установлено условие согласно, которому генподрядчик, который не является субъектом малого предпринимательства, социально ориентированной некоммерческой организацией, обязан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15 процентов от цены контракта.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Вместе с тем, в нарушение части 7 статьи 30 Закона о контрактной системе и пункта 5 Постановления №1466 в пункте 5.1.17. проекта контракта указано, что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30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свою очередь, в пункте 5.1.23. проекта контракта Заказчик предусмотрел, что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Таким образом, пункт 5.1.17. проекта контракта не соответствует положениям действующего Постановления №1466 и части 7 статьи 30 Закона о контрактной системе.</w:t>
      </w:r>
      <w:r>
        <w:br w:type="page"/>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Вместе с тем, данное нарушение не повлияло на результат определения поставщика (подрядчика, исполнителя).</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 статьями 99, 106 Закона о контрактной системе и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left"/>
        <w:spacing w:before="0" w:after="0" w:line="310" w:lineRule="exact"/>
        <w:ind w:left="4840" w:right="0" w:firstLine="0"/>
      </w:pPr>
      <w:r>
        <w:rPr>
          <w:lang w:val="ru-RU" w:eastAsia="ru-RU" w:bidi="ru-RU"/>
          <w:w w:val="100"/>
          <w:spacing w:val="0"/>
          <w:color w:val="000000"/>
          <w:position w:val="0"/>
        </w:rPr>
        <w:t>РЕШИЛА:</w:t>
      </w:r>
    </w:p>
    <w:p>
      <w:pPr>
        <w:pStyle w:val="Style3"/>
        <w:numPr>
          <w:ilvl w:val="0"/>
          <w:numId w:val="11"/>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Признать жалобу общества с ограниченной ответственностью «Аспект» необоснованной.</w:t>
      </w:r>
    </w:p>
    <w:p>
      <w:pPr>
        <w:pStyle w:val="Style3"/>
        <w:numPr>
          <w:ilvl w:val="0"/>
          <w:numId w:val="11"/>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Признать в действиях Заказчика нарушение требований статьи 7, части 7 статьи 30, части 1 статьи 64 Закона о контрактной системе.</w:t>
      </w:r>
    </w:p>
    <w:p>
      <w:pPr>
        <w:pStyle w:val="Style3"/>
        <w:numPr>
          <w:ilvl w:val="0"/>
          <w:numId w:val="11"/>
        </w:numPr>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 xml:space="preserve"> Выдать обязательное для исполнения предписание.</w:t>
      </w:r>
    </w:p>
    <w:p>
      <w:pPr>
        <w:pStyle w:val="Style3"/>
        <w:numPr>
          <w:ilvl w:val="0"/>
          <w:numId w:val="11"/>
        </w:numPr>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 xml:space="preserve"> 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3"/>
        <w:numPr>
          <w:ilvl w:val="0"/>
          <w:numId w:val="11"/>
        </w:numPr>
        <w:widowControl w:val="0"/>
        <w:keepNext w:val="0"/>
        <w:keepLines w:val="0"/>
        <w:shd w:val="clear" w:color="auto" w:fill="auto"/>
        <w:bidi w:val="0"/>
        <w:jc w:val="both"/>
        <w:spacing w:before="0" w:after="580" w:line="310" w:lineRule="exact"/>
        <w:ind w:left="20" w:right="20" w:firstLine="560"/>
      </w:pPr>
      <w:r>
        <w:rPr>
          <w:lang w:val="ru-RU" w:eastAsia="ru-RU" w:bidi="ru-RU"/>
          <w:w w:val="100"/>
          <w:spacing w:val="0"/>
          <w:color w:val="000000"/>
          <w:position w:val="0"/>
        </w:rPr>
        <w:t xml:space="preserve"> В соответствии со статьи 106 Закона о контрактной системе направить настоящее решение сторонам.</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right"/>
        <w:spacing w:before="0" w:after="0" w:line="260" w:lineRule="exact"/>
        <w:ind w:left="0" w:right="20" w:firstLine="0"/>
        <w:sectPr>
          <w:type w:val="continuous"/>
          <w:pgSz w:w="11906" w:h="16838"/>
          <w:pgMar w:top="928" w:left="897" w:right="929" w:bottom="1281" w:header="0" w:footer="3" w:gutter="0"/>
          <w:rtlGutter w:val="0"/>
          <w:cols w:space="720"/>
          <w:noEndnote/>
          <w:docGrid w:linePitch="360"/>
        </w:sectPr>
      </w:pPr>
      <w:r>
        <w:rPr>
          <w:lang w:val="ru-RU" w:eastAsia="ru-RU" w:bidi="ru-RU"/>
          <w:w w:val="100"/>
          <w:spacing w:val="0"/>
          <w:color w:val="000000"/>
          <w:position w:val="0"/>
        </w:rPr>
        <w:t>Р.В. Евлоев</w:t>
      </w:r>
    </w:p>
    <w:p>
      <w:pPr>
        <w:widowControl w:val="0"/>
        <w:spacing w:line="240" w:lineRule="exact"/>
        <w:rPr>
          <w:sz w:val="19"/>
          <w:szCs w:val="19"/>
        </w:rPr>
      </w:pPr>
    </w:p>
    <w:p>
      <w:pPr>
        <w:widowControl w:val="0"/>
        <w:spacing w:line="240" w:lineRule="exact"/>
        <w:rPr>
          <w:sz w:val="19"/>
          <w:szCs w:val="19"/>
        </w:rPr>
      </w:pP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3" w:wrap="around" w:hAnchor="margin" w:x="-7915" w:y="9440"/>
        <w:widowControl w:val="0"/>
        <w:keepNext w:val="0"/>
        <w:keepLines w:val="0"/>
        <w:shd w:val="clear" w:color="auto" w:fill="auto"/>
        <w:bidi w:val="0"/>
        <w:jc w:val="left"/>
        <w:spacing w:before="0" w:after="0" w:line="230" w:lineRule="exact"/>
        <w:ind w:left="0" w:right="0" w:firstLine="0"/>
      </w:pPr>
      <w:r>
        <w:rPr>
          <w:rStyle w:val="CharStyle4"/>
          <w:spacing w:val="0"/>
        </w:rPr>
        <w:t>Члены комиссии:</w:t>
      </w:r>
    </w:p>
    <w:p>
      <w:pPr>
        <w:pStyle w:val="Style3"/>
        <w:widowControl w:val="0"/>
        <w:keepNext w:val="0"/>
        <w:keepLines w:val="0"/>
        <w:shd w:val="clear" w:color="auto" w:fill="auto"/>
        <w:bidi w:val="0"/>
        <w:jc w:val="left"/>
        <w:spacing w:before="0" w:after="947" w:line="260" w:lineRule="exact"/>
        <w:ind w:left="0" w:right="0" w:firstLine="0"/>
      </w:pPr>
      <w:r>
        <w:rPr>
          <w:lang w:val="ru-RU" w:eastAsia="ru-RU" w:bidi="ru-RU"/>
          <w:w w:val="100"/>
          <w:spacing w:val="0"/>
          <w:color w:val="000000"/>
          <w:position w:val="0"/>
        </w:rPr>
        <w:t>К.Х. Бекбузаров</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541" w:left="8811" w:right="855" w:bottom="1657" w:header="0" w:footer="3" w:gutter="0"/>
          <w:rtlGutter w:val="0"/>
          <w:cols w:space="720"/>
          <w:noEndnote/>
          <w:docGrid w:linePitch="360"/>
        </w:sectPr>
      </w:pPr>
      <w:r>
        <w:rPr>
          <w:lang w:val="ru-RU" w:eastAsia="ru-RU" w:bidi="ru-RU"/>
          <w:w w:val="100"/>
          <w:spacing w:val="0"/>
          <w:color w:val="000000"/>
          <w:position w:val="0"/>
        </w:rPr>
        <w:t>П.П. Балкоев</w:t>
      </w:r>
    </w:p>
    <w:p>
      <w:pPr>
        <w:widowControl w:val="0"/>
        <w:spacing w:line="240" w:lineRule="exact"/>
        <w:rPr>
          <w:sz w:val="19"/>
          <w:szCs w:val="19"/>
        </w:rPr>
      </w:pPr>
    </w:p>
    <w:p>
      <w:pPr>
        <w:widowControl w:val="0"/>
        <w:spacing w:line="240" w:lineRule="exact"/>
        <w:rPr>
          <w:sz w:val="19"/>
          <w:szCs w:val="19"/>
        </w:rPr>
      </w:pP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both"/>
        <w:spacing w:before="0" w:after="0" w:line="230" w:lineRule="exact"/>
        <w:ind w:left="20" w:right="0" w:firstLine="560"/>
      </w:pPr>
      <w:r>
        <w:rPr>
          <w:lang w:val="ru-RU" w:eastAsia="ru-RU" w:bidi="ru-RU"/>
          <w:w w:val="10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процессуальною кодекса Российской Федерации.</w:t>
      </w:r>
    </w:p>
    <w:p>
      <w:pPr>
        <w:pStyle w:val="Style21"/>
        <w:widowControl w:val="0"/>
        <w:keepNext w:val="0"/>
        <w:keepLines w:val="0"/>
        <w:shd w:val="clear" w:color="auto" w:fill="auto"/>
        <w:bidi w:val="0"/>
        <w:jc w:val="both"/>
        <w:spacing w:before="0" w:after="0" w:line="230" w:lineRule="exact"/>
        <w:ind w:left="20" w:right="0" w:firstLine="560"/>
      </w:pPr>
      <w:r>
        <w:rPr>
          <w:lang w:val="ru-RU" w:eastAsia="ru-RU" w:bidi="ru-RU"/>
          <w:w w:val="100"/>
          <w:color w:val="000000"/>
          <w:position w:val="0"/>
        </w:rPr>
        <w:t xml:space="preserve">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плошадки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государе </w:t>
      </w:r>
      <w:r>
        <w:rPr>
          <w:lang w:val="en-US" w:eastAsia="en-US" w:bidi="en-US"/>
          <w:w w:val="100"/>
          <w:color w:val="000000"/>
          <w:position w:val="0"/>
        </w:rPr>
        <w:t xml:space="preserve">i </w:t>
      </w:r>
      <w:r>
        <w:rPr>
          <w:lang w:val="ru-RU" w:eastAsia="ru-RU" w:bidi="ru-RU"/>
          <w:w w:val="100"/>
          <w:color w:val="000000"/>
          <w:position w:val="0"/>
        </w:rPr>
        <w:t>вен ной функции, в досудебном (внесудебном) порядке.</w:t>
      </w:r>
    </w:p>
    <w:sectPr>
      <w:type w:val="continuous"/>
      <w:pgSz w:w="11906" w:h="16838"/>
      <w:pgMar w:top="541" w:left="895" w:right="949" w:bottom="16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8"/>
    </w:rPr>
  </w:style>
  <w:style w:type="character" w:customStyle="1" w:styleId="CharStyle5">
    <w:name w:val="Основной текст Exact"/>
    <w:basedOn w:val="CharStyle30"/>
    <w:rPr>
      <w:sz w:val="23"/>
      <w:szCs w:val="23"/>
      <w:spacing w:val="8"/>
    </w:rPr>
  </w:style>
  <w:style w:type="character" w:customStyle="1" w:styleId="CharStyle7">
    <w:name w:val="Основной текст (2)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2) + Малые прописные"/>
    <w:basedOn w:val="CharStyle7"/>
    <w:rPr>
      <w:lang w:val="ru-RU" w:eastAsia="ru-RU" w:bidi="ru-RU"/>
      <w:smallCaps/>
      <w:w w:val="100"/>
      <w:spacing w:val="0"/>
      <w:color w:val="000000"/>
      <w:position w:val="0"/>
    </w:rPr>
  </w:style>
  <w:style w:type="character" w:customStyle="1" w:styleId="CharStyle9">
    <w:name w:val="Основной текст (2) + Малые прописные"/>
    <w:basedOn w:val="CharStyle7"/>
    <w:rPr>
      <w:lang w:val="ru-RU" w:eastAsia="ru-RU" w:bidi="ru-RU"/>
      <w:smallCaps/>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1"/>
      <w:szCs w:val="21"/>
      <w:rFonts w:ascii="Times New Roman" w:eastAsia="Times New Roman" w:hAnsi="Times New Roman" w:cs="Times New Roman"/>
    </w:rPr>
  </w:style>
  <w:style w:type="character" w:customStyle="1" w:styleId="CharStyle12">
    <w:name w:val="Основной текст (3) + 11 pt,Полужирный,Интервал -1 pt"/>
    <w:basedOn w:val="CharStyle11"/>
    <w:rPr>
      <w:lang w:val="ru-RU" w:eastAsia="ru-RU" w:bidi="ru-RU"/>
      <w:b/>
      <w:bCs/>
      <w:sz w:val="22"/>
      <w:szCs w:val="22"/>
      <w:w w:val="100"/>
      <w:spacing w:val="-2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4">
    <w:name w:val="Основной текст (2)"/>
    <w:basedOn w:val="CharStyle7"/>
    <w:rPr>
      <w:lang w:val="ru-RU" w:eastAsia="ru-RU" w:bidi="ru-RU"/>
      <w:w w:val="100"/>
      <w:spacing w:val="0"/>
      <w:color w:val="000000"/>
      <w:position w:val="0"/>
    </w:rPr>
  </w:style>
  <w:style w:type="character" w:customStyle="1" w:styleId="CharStyle15">
    <w:name w:val="Основной текст (2) + Малые прописные,Интервал 2 pt"/>
    <w:basedOn w:val="CharStyle7"/>
    <w:rPr>
      <w:lang w:val="ru-RU" w:eastAsia="ru-RU" w:bidi="ru-RU"/>
      <w:u w:val="single"/>
      <w:smallCaps/>
      <w:w w:val="100"/>
      <w:spacing w:val="50"/>
      <w:color w:val="000000"/>
      <w:position w:val="0"/>
    </w:rPr>
  </w:style>
  <w:style w:type="character" w:customStyle="1" w:styleId="CharStyle16">
    <w:name w:val="Основной текст (2) + Малые прописные,Интервал 2 pt"/>
    <w:basedOn w:val="CharStyle7"/>
    <w:rPr>
      <w:lang w:val="ru-RU" w:eastAsia="ru-RU" w:bidi="ru-RU"/>
      <w:smallCaps/>
      <w:w w:val="100"/>
      <w:spacing w:val="50"/>
      <w:color w:val="000000"/>
      <w:position w:val="0"/>
    </w:rPr>
  </w:style>
  <w:style w:type="character" w:customStyle="1" w:styleId="CharStyle18">
    <w:name w:val="Основной текст (4)_"/>
    <w:basedOn w:val="DefaultParagraphFont"/>
    <w:link w:val="Style17"/>
    <w:rPr>
      <w:lang w:val="en-US" w:eastAsia="en-US" w:bidi="en-US"/>
      <w:b w:val="0"/>
      <w:bCs w:val="0"/>
      <w:i w:val="0"/>
      <w:iCs w:val="0"/>
      <w:u w:val="none"/>
      <w:strike w:val="0"/>
      <w:smallCaps w:val="0"/>
      <w:sz w:val="12"/>
      <w:szCs w:val="12"/>
      <w:rFonts w:ascii="Tahoma" w:eastAsia="Tahoma" w:hAnsi="Tahoma" w:cs="Tahoma"/>
      <w:spacing w:val="-20"/>
    </w:rPr>
  </w:style>
  <w:style w:type="character" w:customStyle="1" w:styleId="CharStyle19">
    <w:name w:val="Основной текст (4) + Times New Roman,Курсив,Интервал 0 pt"/>
    <w:basedOn w:val="CharStyle18"/>
    <w:rPr>
      <w:i/>
      <w:iCs/>
      <w:rFonts w:ascii="Times New Roman" w:eastAsia="Times New Roman" w:hAnsi="Times New Roman" w:cs="Times New Roman"/>
      <w:w w:val="100"/>
      <w:spacing w:val="0"/>
      <w:color w:val="000000"/>
      <w:position w:val="0"/>
    </w:rPr>
  </w:style>
  <w:style w:type="character" w:customStyle="1" w:styleId="CharStyle20">
    <w:name w:val="Основной текст (4)"/>
    <w:basedOn w:val="CharStyle18"/>
    <w:rPr>
      <w:w w:val="100"/>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23">
    <w:name w:val="Основной текст (5)"/>
    <w:basedOn w:val="CharStyle22"/>
    <w:rPr>
      <w:lang w:val="ru-RU" w:eastAsia="ru-RU" w:bidi="ru-RU"/>
      <w:w w:val="100"/>
      <w:color w:val="000000"/>
      <w:position w:val="0"/>
    </w:rPr>
  </w:style>
  <w:style w:type="character" w:customStyle="1" w:styleId="CharStyle24">
    <w:name w:val="Основной текст (5) + Курсив,Интервал 0 pt"/>
    <w:basedOn w:val="CharStyle22"/>
    <w:rPr>
      <w:lang w:val="ru-RU" w:eastAsia="ru-RU" w:bidi="ru-RU"/>
      <w:i/>
      <w:iCs/>
      <w:w w:val="100"/>
      <w:spacing w:val="0"/>
      <w:color w:val="000000"/>
      <w:position w:val="0"/>
    </w:rPr>
  </w:style>
  <w:style w:type="character" w:customStyle="1" w:styleId="CharStyle26">
    <w:name w:val="Заголовок №1_"/>
    <w:basedOn w:val="DefaultParagraphFont"/>
    <w:link w:val="Style25"/>
    <w:rPr>
      <w:b w:val="0"/>
      <w:bCs w:val="0"/>
      <w:i/>
      <w:iCs/>
      <w:u w:val="none"/>
      <w:strike w:val="0"/>
      <w:smallCaps w:val="0"/>
      <w:sz w:val="26"/>
      <w:szCs w:val="26"/>
      <w:rFonts w:ascii="Times New Roman" w:eastAsia="Times New Roman" w:hAnsi="Times New Roman" w:cs="Times New Roman"/>
      <w:spacing w:val="-30"/>
    </w:rPr>
  </w:style>
  <w:style w:type="character" w:customStyle="1" w:styleId="CharStyle27">
    <w:name w:val="Заголовок №1"/>
    <w:basedOn w:val="CharStyle26"/>
    <w:rPr>
      <w:lang w:val="ru-RU" w:eastAsia="ru-RU" w:bidi="ru-RU"/>
      <w:w w:val="100"/>
      <w:color w:val="000000"/>
      <w:position w:val="0"/>
    </w:rPr>
  </w:style>
  <w:style w:type="character" w:customStyle="1" w:styleId="CharStyle28">
    <w:name w:val="Заголовок №1"/>
    <w:basedOn w:val="CharStyle26"/>
    <w:rPr>
      <w:lang w:val="ru-RU" w:eastAsia="ru-RU" w:bidi="ru-RU"/>
      <w:u w:val="single"/>
      <w:w w:val="100"/>
      <w:color w:val="000000"/>
      <w:position w:val="0"/>
    </w:rPr>
  </w:style>
  <w:style w:type="character" w:customStyle="1" w:styleId="CharStyle29">
    <w:name w:val="Заголовок №1 + 6 pt,Интервал 0 pt"/>
    <w:basedOn w:val="CharStyle26"/>
    <w:rPr>
      <w:lang w:val="ru-RU" w:eastAsia="ru-RU" w:bidi="ru-RU"/>
      <w:u w:val="single"/>
      <w:sz w:val="12"/>
      <w:szCs w:val="12"/>
      <w:w w:val="100"/>
      <w:spacing w:val="0"/>
      <w:color w:val="000000"/>
      <w:position w:val="0"/>
    </w:rPr>
  </w:style>
  <w:style w:type="character" w:customStyle="1" w:styleId="CharStyle30">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 Tahoma,12 pt,Полужирный,Интервал -1 pt"/>
    <w:basedOn w:val="CharStyle30"/>
    <w:rPr>
      <w:lang w:val="ru-RU" w:eastAsia="ru-RU" w:bidi="ru-RU"/>
      <w:b/>
      <w:bCs/>
      <w:sz w:val="24"/>
      <w:szCs w:val="24"/>
      <w:rFonts w:ascii="Tahoma" w:eastAsia="Tahoma" w:hAnsi="Tahoma" w:cs="Tahoma"/>
      <w:w w:val="100"/>
      <w:spacing w:val="-20"/>
      <w:color w:val="000000"/>
      <w:position w:val="0"/>
    </w:rPr>
  </w:style>
  <w:style w:type="character" w:customStyle="1" w:styleId="CharStyle32">
    <w:name w:val="Основной текст"/>
    <w:basedOn w:val="CharStyle30"/>
    <w:rPr>
      <w:lang w:val="ru-RU" w:eastAsia="ru-RU" w:bidi="ru-RU"/>
      <w:u w:val="single"/>
      <w:w w:val="100"/>
      <w:spacing w:val="0"/>
      <w:color w:val="000000"/>
      <w:position w:val="0"/>
    </w:rPr>
  </w:style>
  <w:style w:type="paragraph" w:customStyle="1" w:styleId="Style3">
    <w:name w:val="Основной текст"/>
    <w:basedOn w:val="Normal"/>
    <w:link w:val="CharStyle30"/>
    <w:pPr>
      <w:widowControl w:val="0"/>
      <w:shd w:val="clear" w:color="auto" w:fill="FFFFFF"/>
      <w:spacing w:line="31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before="120" w:line="248" w:lineRule="exact"/>
      <w:ind w:firstLine="1380"/>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120" w:after="300" w:line="0" w:lineRule="exact"/>
    </w:pPr>
    <w:rPr>
      <w:lang w:val="en-US" w:eastAsia="en-US" w:bidi="en-US"/>
      <w:b w:val="0"/>
      <w:bCs w:val="0"/>
      <w:i w:val="0"/>
      <w:iCs w:val="0"/>
      <w:u w:val="none"/>
      <w:strike w:val="0"/>
      <w:smallCaps w:val="0"/>
      <w:sz w:val="12"/>
      <w:szCs w:val="12"/>
      <w:rFonts w:ascii="Tahoma" w:eastAsia="Tahoma" w:hAnsi="Tahoma" w:cs="Tahoma"/>
      <w:spacing w:val="-20"/>
    </w:rPr>
  </w:style>
  <w:style w:type="paragraph" w:customStyle="1" w:styleId="Style21">
    <w:name w:val="Основной текст (5)"/>
    <w:basedOn w:val="Normal"/>
    <w:link w:val="CharStyle22"/>
    <w:pPr>
      <w:widowControl w:val="0"/>
      <w:shd w:val="clear" w:color="auto" w:fill="FFFFFF"/>
      <w:spacing w:before="300" w:after="120"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25">
    <w:name w:val="Заголовок №1"/>
    <w:basedOn w:val="Normal"/>
    <w:link w:val="CharStyle26"/>
    <w:pPr>
      <w:widowControl w:val="0"/>
      <w:shd w:val="clear" w:color="auto" w:fill="FFFFFF"/>
      <w:jc w:val="both"/>
      <w:outlineLvl w:val="0"/>
      <w:spacing w:before="120" w:line="0" w:lineRule="exact"/>
    </w:pPr>
    <w:rPr>
      <w:b w:val="0"/>
      <w:bCs w:val="0"/>
      <w:i/>
      <w:iCs/>
      <w:u w:val="none"/>
      <w:strike w:val="0"/>
      <w:smallCaps w:val="0"/>
      <w:sz w:val="26"/>
      <w:szCs w:val="2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