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235" w:h="3069" w:wrap="around" w:vAnchor="text" w:hAnchor="margin" w:x="-165" w:y="28"/>
        <w:widowControl w:val="0"/>
        <w:keepNext w:val="0"/>
        <w:keepLines w:val="0"/>
        <w:shd w:val="clear" w:color="auto" w:fill="auto"/>
        <w:bidi w:val="0"/>
        <w:spacing w:before="0" w:after="45"/>
        <w:ind w:left="20" w:right="0" w:firstLine="0"/>
      </w:pPr>
      <w:r>
        <w:rPr>
          <w:lang w:val="ru-RU" w:eastAsia="ru-RU" w:bidi="ru-RU"/>
          <w:w w:val="100"/>
          <w:spacing w:val="10"/>
          <w:color w:val="000000"/>
          <w:position w:val="0"/>
        </w:rPr>
        <w:t>ФЕДЕРАЛЬНАЯ АНТИМОНОПОЛЬНАЯ СЛУЖБА</w:t>
      </w:r>
    </w:p>
    <w:p>
      <w:pPr>
        <w:pStyle w:val="Style5"/>
        <w:framePr w:w="4235" w:h="3069" w:wrap="around" w:vAnchor="text" w:hAnchor="margin" w:x="-165" w:y="28"/>
        <w:widowControl w:val="0"/>
        <w:keepNext w:val="0"/>
        <w:keepLines w:val="0"/>
        <w:shd w:val="clear" w:color="auto" w:fill="auto"/>
        <w:bidi w:val="0"/>
        <w:spacing w:before="0" w:after="91"/>
        <w:ind w:left="20" w:right="0" w:firstLine="0"/>
      </w:pPr>
      <w:r>
        <w:rPr>
          <w:lang w:val="ru-RU" w:eastAsia="ru-RU" w:bidi="ru-RU"/>
          <w:w w:val="100"/>
          <w:spacing w:val="10"/>
          <w:color w:val="000000"/>
          <w:position w:val="0"/>
        </w:rPr>
        <w:t xml:space="preserve">УПРАВЛЕНИЕ </w:t>
      </w:r>
      <w:r>
        <w:rPr>
          <w:rStyle w:val="CharStyle7"/>
          <w:spacing w:val="10"/>
        </w:rPr>
        <w:t xml:space="preserve">Федеральной </w:t>
      </w:r>
      <w:r>
        <w:rPr>
          <w:lang w:val="ru-RU" w:eastAsia="ru-RU" w:bidi="ru-RU"/>
          <w:w w:val="100"/>
          <w:spacing w:val="10"/>
          <w:color w:val="000000"/>
          <w:position w:val="0"/>
        </w:rPr>
        <w:t>антимонопольной службы но Липецкой области (Липецкое УФАС России)</w:t>
      </w:r>
    </w:p>
    <w:p>
      <w:pPr>
        <w:pStyle w:val="Style8"/>
        <w:framePr w:w="4235" w:h="3069" w:wrap="around" w:vAnchor="text" w:hAnchor="margin" w:x="-165" w:y="2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ил Плеханова. I, г. </w:t>
      </w:r>
      <w:r>
        <w:rPr>
          <w:rStyle w:val="CharStyle10"/>
          <w:spacing w:val="0"/>
        </w:rPr>
        <w:t xml:space="preserve">Липецк, </w:t>
      </w:r>
      <w:r>
        <w:rPr>
          <w:lang w:val="ru-RU" w:eastAsia="ru-RU" w:bidi="ru-RU"/>
          <w:w w:val="100"/>
          <w:spacing w:val="0"/>
          <w:color w:val="000000"/>
          <w:position w:val="0"/>
        </w:rPr>
        <w:t xml:space="preserve">39Я050 </w:t>
      </w:r>
      <w:r>
        <w:rPr>
          <w:rStyle w:val="CharStyle10"/>
          <w:spacing w:val="0"/>
        </w:rPr>
        <w:t xml:space="preserve">тел./факс (4742) 27-14-82 </w:t>
      </w:r>
      <w:r>
        <w:rPr>
          <w:lang w:val="en-US" w:eastAsia="en-US" w:bidi="en-US"/>
          <w:w w:val="100"/>
          <w:spacing w:val="0"/>
          <w:color w:val="000000"/>
          <w:position w:val="0"/>
        </w:rPr>
        <w:t>e-mail: urtKfa.fas.gov.ru http: -</w:t>
      </w:r>
      <w:r>
        <w:fldChar w:fldCharType="begin"/>
      </w:r>
      <w:r>
        <w:rPr>
          <w:color w:val="000000"/>
        </w:rPr>
        <w:instrText> HYPERLINK "http://www.lipetsk.fas.gov.ni" </w:instrText>
      </w:r>
      <w:r>
        <w:fldChar w:fldCharType="separate"/>
      </w:r>
      <w:r>
        <w:rPr>
          <w:rStyle w:val="Hyperlink"/>
          <w:lang w:val="en-US" w:eastAsia="en-US" w:bidi="en-US"/>
          <w:w w:val="100"/>
          <w:spacing w:val="0"/>
          <w:position w:val="0"/>
        </w:rPr>
        <w:t>www.lipetsk.fas.gov.ni</w:t>
      </w:r>
      <w:r>
        <w:fldChar w:fldCharType="end"/>
      </w:r>
    </w:p>
    <w:p>
      <w:pPr>
        <w:pStyle w:val="Style11"/>
        <w:framePr w:w="4235" w:h="3069" w:wrap="around" w:vAnchor="text" w:hAnchor="margin" w:x="-165" w:y="28"/>
        <w:tabs>
          <w:tab w:leader="none" w:pos="3691" w:val="left"/>
          <w:tab w:leader="underscore" w:pos="4128" w:val="left"/>
        </w:tabs>
        <w:widowControl w:val="0"/>
        <w:keepNext w:val="0"/>
        <w:keepLines w:val="0"/>
        <w:shd w:val="clear" w:color="auto" w:fill="auto"/>
        <w:bidi w:val="0"/>
        <w:spacing w:before="0" w:after="280" w:line="360" w:lineRule="exact"/>
        <w:ind w:left="360" w:right="0" w:firstLine="0"/>
      </w:pPr>
      <w:r>
        <w:rPr>
          <w:rStyle w:val="CharStyle13"/>
          <w:i/>
          <w:iCs/>
          <w:spacing w:val="-20"/>
        </w:rPr>
        <w:t>//</w:t>
      </w:r>
      <w:r>
        <w:rPr>
          <w:rStyle w:val="CharStyle14"/>
          <w:i w:val="0"/>
          <w:iCs w:val="0"/>
          <w:spacing w:val="-20"/>
        </w:rPr>
        <w:t xml:space="preserve"> // </w:t>
      </w:r>
      <w:r>
        <w:rPr>
          <w:rStyle w:val="CharStyle13"/>
          <w:i/>
          <w:iCs/>
          <w:spacing w:val="-20"/>
        </w:rPr>
        <w:t>яог</w:t>
      </w:r>
      <w:r>
        <w:rPr>
          <w:lang w:val="ru-RU" w:eastAsia="ru-RU" w:bidi="ru-RU"/>
          <w:w w:val="100"/>
          <w:spacing w:val="-20"/>
          <w:color w:val="000000"/>
          <w:position w:val="0"/>
        </w:rPr>
        <w:t>?</w:t>
      </w:r>
      <w:r>
        <w:rPr>
          <w:rStyle w:val="CharStyle15"/>
          <w:i w:val="0"/>
          <w:iCs w:val="0"/>
          <w:spacing w:val="-20"/>
        </w:rPr>
        <w:t xml:space="preserve"> </w:t>
      </w:r>
      <w:r>
        <w:rPr>
          <w:rStyle w:val="CharStyle16"/>
          <w:i w:val="0"/>
          <w:iCs w:val="0"/>
          <w:spacing w:val="-40"/>
        </w:rPr>
        <w:t>у-</w:t>
        <w:tab/>
      </w:r>
      <w:r>
        <w:rPr>
          <w:rStyle w:val="CharStyle17"/>
          <w:lang w:val="en-US" w:eastAsia="en-US" w:bidi="en-US"/>
          <w:i w:val="0"/>
          <w:iCs w:val="0"/>
        </w:rPr>
        <w:tab/>
      </w:r>
    </w:p>
    <w:p>
      <w:pPr>
        <w:pStyle w:val="Style18"/>
        <w:framePr w:w="4235" w:h="3069" w:wrap="around" w:vAnchor="text" w:hAnchor="margin" w:x="-165" w:y="28"/>
        <w:tabs>
          <w:tab w:leader="underscore" w:pos="2156" w:val="right"/>
          <w:tab w:leader="none" w:pos="2271" w:val="left"/>
          <w:tab w:leader="underscore" w:pos="3951" w:val="left"/>
        </w:tabs>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tab/>
      </w:r>
      <w:r>
        <w:rPr>
          <w:lang w:val="ru-RU" w:eastAsia="ru-RU" w:bidi="ru-RU"/>
          <w:w w:val="100"/>
          <w:spacing w:val="0"/>
          <w:color w:val="000000"/>
          <w:position w:val="0"/>
        </w:rPr>
        <w:t>от</w:t>
        <w:tab/>
        <w:tab/>
      </w:r>
    </w:p>
    <w:p>
      <w:pPr>
        <w:pStyle w:val="Style20"/>
        <w:widowControl w:val="0"/>
        <w:keepNext w:val="0"/>
        <w:keepLines w:val="0"/>
        <w:shd w:val="clear" w:color="auto" w:fill="auto"/>
        <w:bidi w:val="0"/>
        <w:jc w:val="left"/>
        <w:spacing w:before="0" w:after="669"/>
        <w:ind w:left="1700" w:right="1200" w:firstLine="0"/>
      </w:pPr>
      <w:r>
        <w:rPr>
          <w:lang w:val="ru-RU" w:eastAsia="ru-RU" w:bidi="ru-RU"/>
          <w:sz w:val="24"/>
          <w:szCs w:val="24"/>
          <w:w w:val="100"/>
          <w:spacing w:val="0"/>
          <w:color w:val="000000"/>
          <w:position w:val="0"/>
        </w:rPr>
        <w:t xml:space="preserve">ООО «ТОРГОВЫЙ </w:t>
      </w:r>
      <w:r>
        <w:rPr>
          <w:rStyle w:val="CharStyle22"/>
        </w:rPr>
        <w:t xml:space="preserve">дом </w:t>
      </w:r>
      <w:r>
        <w:rPr>
          <w:lang w:val="ru-RU" w:eastAsia="ru-RU" w:bidi="ru-RU"/>
          <w:sz w:val="24"/>
          <w:szCs w:val="24"/>
          <w:w w:val="100"/>
          <w:spacing w:val="0"/>
          <w:color w:val="000000"/>
          <w:position w:val="0"/>
        </w:rPr>
        <w:t>«ВИАЛ»</w:t>
      </w:r>
    </w:p>
    <w:p>
      <w:pPr>
        <w:pStyle w:val="Style20"/>
        <w:widowControl w:val="0"/>
        <w:keepNext w:val="0"/>
        <w:keepLines w:val="0"/>
        <w:shd w:val="clear" w:color="auto" w:fill="auto"/>
        <w:bidi w:val="0"/>
        <w:jc w:val="left"/>
        <w:spacing w:before="0" w:after="619" w:line="240" w:lineRule="exact"/>
        <w:ind w:left="1700" w:right="0" w:firstLine="0"/>
      </w:pPr>
      <w:r>
        <w:fldChar w:fldCharType="begin"/>
      </w:r>
      <w:r>
        <w:rPr>
          <w:color w:val="000000"/>
        </w:rPr>
        <w:instrText> HYPERLINK "mailto:torgdomvial@mail.ru" </w:instrText>
      </w:r>
      <w:r>
        <w:fldChar w:fldCharType="separate"/>
      </w:r>
      <w:r>
        <w:rPr>
          <w:rStyle w:val="Hyperlink"/>
          <w:lang w:val="en-US" w:eastAsia="en-US" w:bidi="en-US"/>
          <w:sz w:val="24"/>
          <w:szCs w:val="24"/>
          <w:w w:val="100"/>
          <w:spacing w:val="0"/>
          <w:position w:val="0"/>
        </w:rPr>
        <w:t>torgdomvial@mail.ru</w:t>
      </w:r>
      <w:r>
        <w:fldChar w:fldCharType="end"/>
      </w:r>
    </w:p>
    <w:p>
      <w:pPr>
        <w:pStyle w:val="Style20"/>
        <w:widowControl w:val="0"/>
        <w:keepNext w:val="0"/>
        <w:keepLines w:val="0"/>
        <w:shd w:val="clear" w:color="auto" w:fill="auto"/>
        <w:bidi w:val="0"/>
        <w:jc w:val="left"/>
        <w:spacing w:before="0" w:after="86" w:line="312" w:lineRule="exact"/>
        <w:ind w:left="1700" w:right="640" w:firstLine="0"/>
      </w:pPr>
      <w:r>
        <w:rPr>
          <w:lang w:val="ru-RU" w:eastAsia="ru-RU" w:bidi="ru-RU"/>
          <w:sz w:val="24"/>
          <w:szCs w:val="24"/>
          <w:w w:val="100"/>
          <w:spacing w:val="0"/>
          <w:color w:val="000000"/>
          <w:position w:val="0"/>
        </w:rPr>
        <w:t>Государственное учреждение здравоохранения "Липецкий областной онкологический диспансер"</w:t>
      </w:r>
    </w:p>
    <w:p>
      <w:pPr>
        <w:pStyle w:val="Style20"/>
        <w:widowControl w:val="0"/>
        <w:keepNext w:val="0"/>
        <w:keepLines w:val="0"/>
        <w:shd w:val="clear" w:color="auto" w:fill="auto"/>
        <w:bidi w:val="0"/>
        <w:jc w:val="left"/>
        <w:spacing w:before="0" w:after="0" w:line="955" w:lineRule="exact"/>
        <w:ind w:left="5700" w:right="0" w:firstLine="0"/>
      </w:pPr>
      <w:r>
        <w:fldChar w:fldCharType="begin"/>
      </w:r>
      <w:r>
        <w:rPr>
          <w:color w:val="000000"/>
        </w:rPr>
        <w:instrText> HYPERLINK "mailto:zakypka-onko@mail.ru" </w:instrText>
      </w:r>
      <w:r>
        <w:fldChar w:fldCharType="separate"/>
      </w:r>
      <w:r>
        <w:rPr>
          <w:rStyle w:val="Hyperlink"/>
          <w:lang w:val="en-US" w:eastAsia="en-US" w:bidi="en-US"/>
          <w:sz w:val="24"/>
          <w:szCs w:val="24"/>
          <w:w w:val="100"/>
          <w:spacing w:val="0"/>
          <w:position w:val="0"/>
        </w:rPr>
        <w:t>zakypka-onko@mail.ru</w:t>
      </w:r>
      <w:r>
        <w:fldChar w:fldCharType="end"/>
      </w:r>
    </w:p>
    <w:p>
      <w:pPr>
        <w:pStyle w:val="Style20"/>
        <w:widowControl w:val="0"/>
        <w:keepNext w:val="0"/>
        <w:keepLines w:val="0"/>
        <w:shd w:val="clear" w:color="auto" w:fill="auto"/>
        <w:bidi w:val="0"/>
        <w:jc w:val="left"/>
        <w:spacing w:before="0" w:after="0" w:line="955" w:lineRule="exact"/>
        <w:ind w:left="5700" w:right="0" w:firstLine="0"/>
      </w:pPr>
      <w:r>
        <w:rPr>
          <w:lang w:val="ru-RU" w:eastAsia="ru-RU" w:bidi="ru-RU"/>
          <w:sz w:val="24"/>
          <w:szCs w:val="24"/>
          <w:w w:val="100"/>
          <w:spacing w:val="0"/>
          <w:color w:val="000000"/>
          <w:position w:val="0"/>
        </w:rPr>
        <w:t>ЗАО «Сбербанк - АСТ»</w:t>
      </w:r>
    </w:p>
    <w:p>
      <w:pPr>
        <w:pStyle w:val="Style20"/>
        <w:widowControl w:val="0"/>
        <w:keepNext w:val="0"/>
        <w:keepLines w:val="0"/>
        <w:shd w:val="clear" w:color="auto" w:fill="auto"/>
        <w:bidi w:val="0"/>
        <w:jc w:val="left"/>
        <w:spacing w:before="0" w:after="0" w:line="955" w:lineRule="exact"/>
        <w:ind w:left="5700" w:right="0" w:firstLine="0"/>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20"/>
        <w:widowControl w:val="0"/>
        <w:keepNext w:val="0"/>
        <w:keepLines w:val="0"/>
        <w:shd w:val="clear" w:color="auto" w:fill="auto"/>
        <w:bidi w:val="0"/>
        <w:jc w:val="center"/>
        <w:spacing w:before="0" w:after="382" w:line="240" w:lineRule="exact"/>
        <w:ind w:left="20" w:right="0" w:firstLine="0"/>
      </w:pPr>
      <w:r>
        <w:rPr>
          <w:lang w:val="ru-RU" w:eastAsia="ru-RU" w:bidi="ru-RU"/>
          <w:sz w:val="24"/>
          <w:szCs w:val="24"/>
          <w:w w:val="100"/>
          <w:spacing w:val="0"/>
          <w:color w:val="000000"/>
          <w:position w:val="0"/>
        </w:rPr>
        <w:t>РЕШЕНИЕ №380с/17</w:t>
      </w:r>
    </w:p>
    <w:p>
      <w:pPr>
        <w:pStyle w:val="Style20"/>
        <w:tabs>
          <w:tab w:leader="none" w:pos="8833" w:val="right"/>
          <w:tab w:leader="none" w:pos="9802" w:val="right"/>
        </w:tabs>
        <w:widowControl w:val="0"/>
        <w:keepNext w:val="0"/>
        <w:keepLines w:val="0"/>
        <w:shd w:val="clear" w:color="auto" w:fill="auto"/>
        <w:bidi w:val="0"/>
        <w:jc w:val="both"/>
        <w:spacing w:before="0" w:after="382" w:line="240" w:lineRule="exact"/>
        <w:ind w:left="20" w:right="0" w:firstLine="0"/>
      </w:pPr>
      <w:r>
        <w:rPr>
          <w:lang w:val="ru-RU" w:eastAsia="ru-RU" w:bidi="ru-RU"/>
          <w:sz w:val="24"/>
          <w:szCs w:val="24"/>
          <w:w w:val="100"/>
          <w:spacing w:val="0"/>
          <w:color w:val="000000"/>
          <w:position w:val="0"/>
        </w:rPr>
        <w:t>«14» ноября 2017 года</w:t>
        <w:tab/>
        <w:t>город</w:t>
        <w:tab/>
        <w:t>Липецк</w:t>
      </w:r>
    </w:p>
    <w:p>
      <w:pPr>
        <w:pStyle w:val="Style20"/>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Резолютивная часть решения объявлена 14.11.2017 года.</w:t>
      </w:r>
    </w:p>
    <w:p>
      <w:pPr>
        <w:pStyle w:val="Style20"/>
        <w:widowControl w:val="0"/>
        <w:keepNext w:val="0"/>
        <w:keepLines w:val="0"/>
        <w:shd w:val="clear" w:color="auto" w:fill="auto"/>
        <w:bidi w:val="0"/>
        <w:jc w:val="both"/>
        <w:spacing w:before="0" w:after="318" w:line="240" w:lineRule="exact"/>
        <w:ind w:left="20" w:right="0" w:firstLine="720"/>
      </w:pPr>
      <w:r>
        <w:rPr>
          <w:lang w:val="ru-RU" w:eastAsia="ru-RU" w:bidi="ru-RU"/>
          <w:sz w:val="24"/>
          <w:szCs w:val="24"/>
          <w:w w:val="100"/>
          <w:spacing w:val="0"/>
          <w:color w:val="000000"/>
          <w:position w:val="0"/>
        </w:rPr>
        <w:t>Решение в полном объеме изготовлено 16.11.2017 года.</w:t>
      </w:r>
    </w:p>
    <w:p>
      <w:pPr>
        <w:pStyle w:val="Style20"/>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России)в составе:</w:t>
      </w:r>
    </w:p>
    <w:p>
      <w:pPr>
        <w:pStyle w:val="Style20"/>
        <w:widowControl w:val="0"/>
        <w:keepNext w:val="0"/>
        <w:keepLines w:val="0"/>
        <w:shd w:val="clear" w:color="auto" w:fill="auto"/>
        <w:bidi w:val="0"/>
        <w:jc w:val="left"/>
        <w:spacing w:before="0" w:after="0" w:line="317" w:lineRule="exact"/>
        <w:ind w:left="20" w:right="20" w:firstLine="720"/>
      </w:pPr>
      <w:r>
        <w:rPr>
          <w:lang w:val="ru-RU" w:eastAsia="ru-RU" w:bidi="ru-RU"/>
          <w:sz w:val="24"/>
          <w:szCs w:val="24"/>
          <w:w w:val="100"/>
          <w:spacing w:val="0"/>
          <w:color w:val="000000"/>
          <w:position w:val="0"/>
        </w:rPr>
        <w:t>председатель Комиссии - И.В. Поткина - руководитель Управления; заместитель председателя Комиссии - Т.Н. Ролдугина - начальник отдела контроля закупок и торгов;</w:t>
      </w:r>
    </w:p>
    <w:p>
      <w:pPr>
        <w:pStyle w:val="Style20"/>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члены Комиссии: Ольга Ивановна Панина — ведущий специалист-эксперт отдела контроля закупок и торгов,</w:t>
      </w:r>
    </w:p>
    <w:p>
      <w:pPr>
        <w:pStyle w:val="Style20"/>
        <w:widowControl w:val="0"/>
        <w:keepNext w:val="0"/>
        <w:keepLines w:val="0"/>
        <w:shd w:val="clear" w:color="auto" w:fill="auto"/>
        <w:bidi w:val="0"/>
        <w:jc w:val="left"/>
        <w:spacing w:before="0" w:after="0" w:line="317" w:lineRule="exact"/>
        <w:ind w:left="20" w:right="20" w:firstLine="720"/>
      </w:pPr>
      <w:r>
        <w:rPr>
          <w:lang w:val="ru-RU" w:eastAsia="ru-RU" w:bidi="ru-RU"/>
          <w:sz w:val="24"/>
          <w:szCs w:val="24"/>
          <w:w w:val="100"/>
          <w:spacing w:val="0"/>
          <w:color w:val="000000"/>
          <w:position w:val="0"/>
        </w:rPr>
        <w:t>в присутствии представителей заказчика: государственного учреждения здравоохранения "Липецкий областной онкологический диспансер" - Лапиной А.А. (доверенность от 14.11.2017), Чуйковой Е.И. (доверенность от 14.11.2017), рассмотрев жалобу ООО «ТОРГОВЫЙ ДОМ «ВИАЛ» на положения документации об электронном аукционе на поставку лекарственного препарата (гемцитабина) (реестровый номер 0346200008017000302) (далее - электронный аукцион),</w:t>
      </w:r>
      <w:r>
        <w:br w:type="page"/>
      </w:r>
    </w:p>
    <w:p>
      <w:pPr>
        <w:pStyle w:val="Style20"/>
        <w:widowControl w:val="0"/>
        <w:keepNext w:val="0"/>
        <w:keepLines w:val="0"/>
        <w:shd w:val="clear" w:color="auto" w:fill="auto"/>
        <w:bidi w:val="0"/>
        <w:jc w:val="center"/>
        <w:spacing w:before="0" w:after="324" w:line="240" w:lineRule="exact"/>
        <w:ind w:left="0" w:right="0" w:firstLine="0"/>
      </w:pPr>
      <w:r>
        <w:rPr>
          <w:rStyle w:val="CharStyle23"/>
        </w:rPr>
        <w:t>УСТАНОВИЛА:</w:t>
      </w:r>
    </w:p>
    <w:p>
      <w:pPr>
        <w:pStyle w:val="Style20"/>
        <w:widowControl w:val="0"/>
        <w:keepNext w:val="0"/>
        <w:keepLines w:val="0"/>
        <w:shd w:val="clear" w:color="auto" w:fill="auto"/>
        <w:bidi w:val="0"/>
        <w:jc w:val="both"/>
        <w:spacing w:before="0" w:after="0" w:line="312" w:lineRule="exact"/>
        <w:ind w:left="40" w:right="20" w:firstLine="700"/>
      </w:pPr>
      <w:r>
        <w:rPr>
          <w:lang w:val="ru-RU" w:eastAsia="ru-RU" w:bidi="ru-RU"/>
          <w:sz w:val="24"/>
          <w:szCs w:val="24"/>
          <w:w w:val="100"/>
          <w:spacing w:val="0"/>
          <w:color w:val="000000"/>
          <w:position w:val="0"/>
        </w:rPr>
        <w:t>В адрес Липецкого УФАС России 07Л 1.2017 поступила жалоба ООО «ТОРГОВЫЙ ДОМ «ВИАЛ» на положении документации об электронном аукционе.</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Жалоба подготовлена в соответствии с требованиями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rStyle w:val="CharStyle24"/>
        </w:rPr>
        <w:t>в разделе</w:t>
      </w:r>
      <w:r>
        <w:rPr>
          <w:lang w:val="ru-RU" w:eastAsia="ru-RU" w:bidi="ru-RU"/>
          <w:sz w:val="24"/>
          <w:szCs w:val="24"/>
          <w:w w:val="100"/>
          <w:spacing w:val="0"/>
          <w:color w:val="000000"/>
          <w:position w:val="0"/>
        </w:rPr>
        <w:t xml:space="preserve"> «жалобы».</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sz w:val="24"/>
          <w:szCs w:val="24"/>
          <w:w w:val="100"/>
          <w:spacing w:val="0"/>
          <w:color w:val="000000"/>
          <w:position w:val="0"/>
        </w:rPr>
        <w:t>На заседании комиссии велась аудиозапись.</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ООО «ТОРГОВЫЙ ДОМ «ВИАЛ»,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В жалобе ООО «ТОРГОВЫЙ ДОМ «ВИАЛ» указано, что заказчиком закупается препарат с конкретной дозировкой без указания на возможность поставки препарата в кратной дозировке, что является нарушением требований Закона о контрактной системе.</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Представители заказчика не согласны с жалобой и пояснили, что требования к закупаемому лекарственному препарату установлены в соответствии с потребностями заказчика и не противоречат нормам Закона о контрактной системе.</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Рассмотрев жалобу и приложенные к ней материалы, а также другие документы (копии), представленные сторонами, и выслушав мнение представителей заказчика и проведя внеплановую проверку, Комиссия Липецкого УФАС России установила следующее.</w:t>
      </w:r>
    </w:p>
    <w:p>
      <w:pPr>
        <w:pStyle w:val="Style20"/>
        <w:widowControl w:val="0"/>
        <w:keepNext w:val="0"/>
        <w:keepLines w:val="0"/>
        <w:shd w:val="clear" w:color="auto" w:fill="auto"/>
        <w:bidi w:val="0"/>
        <w:jc w:val="both"/>
        <w:spacing w:before="0" w:after="0" w:line="302" w:lineRule="exact"/>
        <w:ind w:left="40" w:right="20" w:firstLine="700"/>
      </w:pPr>
      <w:r>
        <w:rPr>
          <w:lang w:val="ru-RU" w:eastAsia="ru-RU" w:bidi="ru-RU"/>
          <w:sz w:val="24"/>
          <w:szCs w:val="24"/>
          <w:w w:val="100"/>
          <w:spacing w:val="0"/>
          <w:color w:val="000000"/>
          <w:position w:val="0"/>
        </w:rPr>
        <w:t xml:space="preserve">Документация об электронном аукционе и извещение о проведении закупки размещены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sz w:val="24"/>
          <w:szCs w:val="24"/>
          <w:w w:val="100"/>
          <w:spacing w:val="0"/>
          <w:color w:val="000000"/>
          <w:position w:val="0"/>
        </w:rPr>
        <w:t>Согласно п.1 ч.1 ст.ЗЗ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both"/>
        <w:spacing w:before="0" w:after="0" w:line="322" w:lineRule="exact"/>
        <w:ind w:left="40" w:right="40" w:firstLine="680"/>
      </w:pPr>
      <w:r>
        <w:rPr>
          <w:lang w:val="ru-RU" w:eastAsia="ru-RU" w:bidi="ru-RU"/>
          <w:sz w:val="24"/>
          <w:szCs w:val="24"/>
          <w:w w:val="100"/>
          <w:spacing w:val="0"/>
          <w:color w:val="000000"/>
          <w:position w:val="0"/>
        </w:rPr>
        <w:t>В соответствии с п.6 ч.1 ст.ЗЗ Закона о контрактной системе документация о закупке должна содержать указание на МНН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pPr>
        <w:pStyle w:val="Style20"/>
        <w:widowControl w:val="0"/>
        <w:keepNext w:val="0"/>
        <w:keepLines w:val="0"/>
        <w:shd w:val="clear" w:color="auto" w:fill="auto"/>
        <w:bidi w:val="0"/>
        <w:jc w:val="both"/>
        <w:spacing w:before="0" w:after="0" w:line="322" w:lineRule="exact"/>
        <w:ind w:left="40" w:right="40" w:firstLine="680"/>
      </w:pPr>
      <w:r>
        <w:rPr>
          <w:lang w:val="ru-RU" w:eastAsia="ru-RU" w:bidi="ru-RU"/>
          <w:sz w:val="24"/>
          <w:szCs w:val="24"/>
          <w:w w:val="100"/>
          <w:spacing w:val="0"/>
          <w:color w:val="000000"/>
          <w:position w:val="0"/>
        </w:rPr>
        <w:t>Исходя из ч. 2 ст. 33 Закона о контрактной системе, документация о закупке в соответствии с требованиями, указанными в ч.1 ст.ЗЗ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20"/>
        <w:widowControl w:val="0"/>
        <w:keepNext w:val="0"/>
        <w:keepLines w:val="0"/>
        <w:shd w:val="clear" w:color="auto" w:fill="auto"/>
        <w:bidi w:val="0"/>
        <w:jc w:val="both"/>
        <w:spacing w:before="0" w:after="236" w:line="322" w:lineRule="exact"/>
        <w:ind w:left="40" w:right="40" w:firstLine="680"/>
      </w:pPr>
      <w:r>
        <w:rPr>
          <w:lang w:val="ru-RU" w:eastAsia="ru-RU" w:bidi="ru-RU"/>
          <w:sz w:val="24"/>
          <w:szCs w:val="24"/>
          <w:w w:val="100"/>
          <w:spacing w:val="0"/>
          <w:color w:val="000000"/>
          <w:position w:val="0"/>
        </w:rPr>
        <w:t>Проанализировав документацию об электронном аукционе, Комиссией Липецкого УФАС России установлено, что в п. 2.1 содержатся следующие требования к закупаемому лекарственному препарату:</w:t>
      </w:r>
    </w:p>
    <w:tbl>
      <w:tblPr>
        <w:tblOverlap w:val="never"/>
        <w:tblLayout w:type="fixed"/>
        <w:jc w:val="center"/>
      </w:tblPr>
      <w:tblGrid>
        <w:gridCol w:w="600"/>
        <w:gridCol w:w="5770"/>
        <w:gridCol w:w="1478"/>
        <w:gridCol w:w="1622"/>
      </w:tblGrid>
      <w:tr>
        <w:trPr>
          <w:trHeight w:val="902" w:hRule="exact"/>
        </w:trPr>
        <w:tc>
          <w:tcPr>
            <w:shd w:val="clear" w:color="auto" w:fill="FFFFFF"/>
            <w:tcBorders>
              <w:left w:val="single" w:sz="4"/>
              <w:top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60" w:line="240" w:lineRule="exact"/>
              <w:ind w:left="140" w:right="0" w:firstLine="0"/>
            </w:pPr>
            <w:r>
              <w:rPr>
                <w:rStyle w:val="CharStyle25"/>
              </w:rPr>
              <w:t>№</w:t>
            </w:r>
          </w:p>
          <w:p>
            <w:pPr>
              <w:pStyle w:val="Style20"/>
              <w:framePr w:w="9470" w:wrap="notBeside" w:vAnchor="text" w:hAnchor="text" w:xAlign="center" w:y="1"/>
              <w:widowControl w:val="0"/>
              <w:keepNext w:val="0"/>
              <w:keepLines w:val="0"/>
              <w:shd w:val="clear" w:color="auto" w:fill="auto"/>
              <w:bidi w:val="0"/>
              <w:jc w:val="left"/>
              <w:spacing w:before="60" w:after="0" w:line="240" w:lineRule="exact"/>
              <w:ind w:left="140" w:right="0" w:firstLine="0"/>
            </w:pPr>
            <w:r>
              <w:rPr>
                <w:rStyle w:val="CharStyle25"/>
              </w:rPr>
              <w:t>п/п</w:t>
            </w:r>
          </w:p>
        </w:tc>
        <w:tc>
          <w:tcPr>
            <w:shd w:val="clear" w:color="auto" w:fill="FFFFFF"/>
            <w:tcBorders>
              <w:left w:val="single" w:sz="4"/>
              <w:top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Наименование и описание объекта закупки</w:t>
            </w:r>
          </w:p>
        </w:tc>
        <w:tc>
          <w:tcPr>
            <w:shd w:val="clear" w:color="auto" w:fill="FFFFFF"/>
            <w:tcBorders>
              <w:left w:val="single" w:sz="4"/>
              <w:top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120" w:line="240" w:lineRule="exact"/>
              <w:ind w:left="120" w:right="0" w:firstLine="0"/>
            </w:pPr>
            <w:r>
              <w:rPr>
                <w:rStyle w:val="CharStyle25"/>
              </w:rPr>
              <w:t>Единица</w:t>
            </w:r>
          </w:p>
          <w:p>
            <w:pPr>
              <w:pStyle w:val="Style20"/>
              <w:framePr w:w="9470" w:wrap="notBeside" w:vAnchor="text" w:hAnchor="text" w:xAlign="center" w:y="1"/>
              <w:widowControl w:val="0"/>
              <w:keepNext w:val="0"/>
              <w:keepLines w:val="0"/>
              <w:shd w:val="clear" w:color="auto" w:fill="auto"/>
              <w:bidi w:val="0"/>
              <w:jc w:val="left"/>
              <w:spacing w:before="120" w:after="0" w:line="240" w:lineRule="exact"/>
              <w:ind w:left="120" w:right="0" w:firstLine="0"/>
            </w:pPr>
            <w:r>
              <w:rPr>
                <w:rStyle w:val="CharStyle25"/>
              </w:rPr>
              <w:t>измерения</w:t>
            </w:r>
          </w:p>
        </w:tc>
        <w:tc>
          <w:tcPr>
            <w:shd w:val="clear" w:color="auto" w:fill="FFFFFF"/>
            <w:tcBorders>
              <w:left w:val="single" w:sz="4"/>
              <w:right w:val="single" w:sz="4"/>
              <w:top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Количество</w:t>
            </w:r>
          </w:p>
        </w:tc>
      </w:tr>
      <w:tr>
        <w:trPr>
          <w:trHeight w:val="662" w:hRule="exact"/>
        </w:trPr>
        <w:tc>
          <w:tcPr>
            <w:shd w:val="clear" w:color="auto" w:fill="FFFFFF"/>
            <w:tcBorders>
              <w:left w:val="single" w:sz="4"/>
              <w:top w:val="single" w:sz="4"/>
              <w:bottom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25"/>
              </w:rPr>
              <w:t>1</w:t>
            </w:r>
          </w:p>
        </w:tc>
        <w:tc>
          <w:tcPr>
            <w:shd w:val="clear" w:color="auto" w:fill="FFFFFF"/>
            <w:tcBorders>
              <w:left w:val="single" w:sz="4"/>
              <w:top w:val="single" w:sz="4"/>
              <w:bottom w:val="single" w:sz="4"/>
            </w:tcBorders>
            <w:vAlign w:val="bottom"/>
          </w:tcPr>
          <w:p>
            <w:pPr>
              <w:pStyle w:val="Style20"/>
              <w:framePr w:w="9470" w:wrap="notBeside" w:vAnchor="text" w:hAnchor="text" w:xAlign="center" w:y="1"/>
              <w:widowControl w:val="0"/>
              <w:keepNext w:val="0"/>
              <w:keepLines w:val="0"/>
              <w:shd w:val="clear" w:color="auto" w:fill="auto"/>
              <w:bidi w:val="0"/>
              <w:jc w:val="left"/>
              <w:spacing w:before="0" w:after="0" w:line="322" w:lineRule="exact"/>
              <w:ind w:left="120" w:right="0" w:firstLine="0"/>
            </w:pPr>
            <w:r>
              <w:rPr>
                <w:rStyle w:val="CharStyle25"/>
              </w:rPr>
              <w:t>Гемцитабин лиофилизат для приготовления раствора для инфузий 1400 мг</w:t>
            </w:r>
          </w:p>
        </w:tc>
        <w:tc>
          <w:tcPr>
            <w:shd w:val="clear" w:color="auto" w:fill="FFFFFF"/>
            <w:tcBorders>
              <w:left w:val="single" w:sz="4"/>
              <w:top w:val="single" w:sz="4"/>
              <w:bottom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штука</w:t>
            </w:r>
          </w:p>
        </w:tc>
        <w:tc>
          <w:tcPr>
            <w:shd w:val="clear" w:color="auto" w:fill="FFFFFF"/>
            <w:tcBorders>
              <w:left w:val="single" w:sz="4"/>
              <w:right w:val="single" w:sz="4"/>
              <w:top w:val="single" w:sz="4"/>
              <w:bottom w:val="single" w:sz="4"/>
            </w:tcBorders>
            <w:vAlign w:val="center"/>
          </w:tcPr>
          <w:p>
            <w:pPr>
              <w:pStyle w:val="Style20"/>
              <w:framePr w:w="9470"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267</w:t>
            </w:r>
          </w:p>
        </w:tc>
      </w:tr>
    </w:tbl>
    <w:p>
      <w:pPr>
        <w:widowControl w:val="0"/>
        <w:rPr>
          <w:sz w:val="2"/>
          <w:szCs w:val="2"/>
        </w:rPr>
      </w:pPr>
    </w:p>
    <w:p>
      <w:pPr>
        <w:pStyle w:val="Style20"/>
        <w:widowControl w:val="0"/>
        <w:keepNext w:val="0"/>
        <w:keepLines w:val="0"/>
        <w:shd w:val="clear" w:color="auto" w:fill="auto"/>
        <w:bidi w:val="0"/>
        <w:jc w:val="both"/>
        <w:spacing w:before="256" w:after="0" w:line="312" w:lineRule="exact"/>
        <w:ind w:left="40" w:right="40" w:firstLine="680"/>
      </w:pPr>
      <w:r>
        <w:rPr>
          <w:lang w:val="ru-RU" w:eastAsia="ru-RU" w:bidi="ru-RU"/>
          <w:sz w:val="24"/>
          <w:szCs w:val="24"/>
          <w:w w:val="100"/>
          <w:spacing w:val="0"/>
          <w:color w:val="000000"/>
          <w:position w:val="0"/>
        </w:rPr>
        <w:t>При рассмотрении жалобы представители заказчика пояснили, что требования к конкретной дозировке препарата вызваны потребностью заказчика. При этом, данный препарат в иной дозировке имеется у заказчика - по 200 мг и 1000 мг. Препарат с дозировкой 1400 мг необходим заказчику для лечения большей части пациентов, исходя из их массы тела, получающих такой препарат при лечении (введение 1400-1600 мг разово).</w:t>
      </w:r>
    </w:p>
    <w:p>
      <w:pPr>
        <w:pStyle w:val="Style20"/>
        <w:widowControl w:val="0"/>
        <w:keepNext w:val="0"/>
        <w:keepLines w:val="0"/>
        <w:shd w:val="clear" w:color="auto" w:fill="auto"/>
        <w:bidi w:val="0"/>
        <w:jc w:val="both"/>
        <w:spacing w:before="0" w:after="0" w:line="322" w:lineRule="exact"/>
        <w:ind w:left="40" w:right="40" w:firstLine="680"/>
      </w:pPr>
      <w:r>
        <w:rPr>
          <w:lang w:val="ru-RU" w:eastAsia="ru-RU" w:bidi="ru-RU"/>
          <w:sz w:val="24"/>
          <w:szCs w:val="24"/>
          <w:w w:val="100"/>
          <w:spacing w:val="0"/>
          <w:color w:val="000000"/>
          <w:position w:val="0"/>
        </w:rPr>
        <w:t>Таким образом, в рассматриваемом случае, требования к закупаемому препарату определены, исходя из потребностей заказчика, обосновавшего необходимость приобретения товара с соответствующими характеристиками, обусловленными спецификой назначения и применения закупаемого препарата.</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Данный вывод согласуется с выводами, содержащимися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РФ 28.06.2017.</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 xml:space="preserve">Также в данном Обзоре указано, что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135-ФЗ "О защите конкуренции" (далее - Закон о защите конкуренции).</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При рассмотрении жалобы установлено, что, определяя потребность в лекарственном препарате с определенной дозировкой, заказчиком, помимо прочего, учтено количество отходов (использованных флаконов), которые подлежат утилизации. Выбор дозировки без учета факторов, связанных с утилизацией отходов, приводит к увеличению финансовых затрат заказчика.</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Определяющим фактором при установлении соответствующих требований в аукционной документации являются потребности заказчика,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 при оказании соответствующих услуг и влияют на его стоимость.</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Более того, указание в документации об электронном аукционе требований к функциональным, техническим и качественным характеристикам объектам закупки прямо предусмотрено Законом о контрактной системе.</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Вместе с тем, заявителем на заседание Комиссии Липецкого УФАС России не представлены доказательства того, что действия заказчика по установлению требований к закупаемому лекарственному препарату являются для заявителя или иных участников закупки непреодолимыми либо создают преимущества другим участникам.</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При этом, как следует из протокола рассмотрения заявок от 09.11.2017, на участие в электронном аукционе поступило 4 заявки, в трех из которых содержатся предложения товара, соответствующего требованиям заказчика.</w:t>
      </w:r>
    </w:p>
    <w:p>
      <w:pPr>
        <w:pStyle w:val="Style20"/>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С учетом приведенных обстоятельств, Комиссия приходит к выводу, что действия заказчика не противоречат требованиям статьи 33 Закона о контрактной системе, поскольку факт ограничения или потенциальное ограничение доступа к участию в электронном аукционе материалами рассмотрения жалобы не подтвержден.</w:t>
      </w:r>
      <w:r>
        <w:br w:type="page"/>
      </w:r>
    </w:p>
    <w:p>
      <w:pPr>
        <w:pStyle w:val="Style20"/>
        <w:widowControl w:val="0"/>
        <w:keepNext w:val="0"/>
        <w:keepLines w:val="0"/>
        <w:shd w:val="clear" w:color="auto" w:fill="auto"/>
        <w:bidi w:val="0"/>
        <w:jc w:val="both"/>
        <w:spacing w:before="0" w:after="365" w:line="322" w:lineRule="exact"/>
        <w:ind w:left="20" w:right="20" w:firstLine="700"/>
      </w:pPr>
      <w:r>
        <w:rPr>
          <w:lang w:val="ru-RU" w:eastAsia="ru-RU" w:bidi="ru-RU"/>
          <w:sz w:val="24"/>
          <w:szCs w:val="24"/>
          <w:w w:val="100"/>
          <w:spacing w:val="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 727/14), Комиссия</w:t>
      </w:r>
    </w:p>
    <w:p>
      <w:pPr>
        <w:pStyle w:val="Style20"/>
        <w:widowControl w:val="0"/>
        <w:keepNext w:val="0"/>
        <w:keepLines w:val="0"/>
        <w:shd w:val="clear" w:color="auto" w:fill="auto"/>
        <w:bidi w:val="0"/>
        <w:jc w:val="center"/>
        <w:spacing w:before="0" w:after="247" w:line="240" w:lineRule="exact"/>
        <w:ind w:left="0" w:right="0" w:firstLine="0"/>
      </w:pPr>
      <w:r>
        <w:rPr>
          <w:rStyle w:val="CharStyle23"/>
        </w:rPr>
        <w:t>РЕШИЛА:</w:t>
      </w:r>
    </w:p>
    <w:p>
      <w:pPr>
        <w:pStyle w:val="Style20"/>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spacing w:val="0"/>
          <w:color w:val="000000"/>
          <w:position w:val="0"/>
        </w:rPr>
        <w:t>1. Признать жалобу ООО «ТОРГОВЫЙ ДОМ «ВИАЛ» на положения документации об электронном аукционе на поставку лекарственного препарата (гемцитабина) (реестровый номер 0346200008017000302) необоснованной.</w:t>
      </w:r>
    </w:p>
    <w:p>
      <w:pPr>
        <w:pStyle w:val="Style20"/>
        <w:widowControl w:val="0"/>
        <w:keepNext w:val="0"/>
        <w:keepLines w:val="0"/>
        <w:shd w:val="clear" w:color="auto" w:fill="auto"/>
        <w:bidi w:val="0"/>
        <w:jc w:val="both"/>
        <w:spacing w:before="0" w:after="0" w:line="312" w:lineRule="exact"/>
        <w:ind w:left="20" w:right="20" w:firstLine="700"/>
        <w:sectPr>
          <w:footnotePr>
            <w:pos w:val="pageBottom"/>
            <w:numFmt w:val="decimal"/>
            <w:numRestart w:val="continuous"/>
          </w:footnotePr>
          <w:type w:val="continuous"/>
          <w:pgSz w:w="11906" w:h="16838"/>
          <w:pgMar w:top="913" w:left="879" w:right="879" w:bottom="669" w:header="0" w:footer="3" w:gutter="154"/>
          <w:rtlGutter w:val="0"/>
          <w:cols w:space="720"/>
          <w:noEndnote/>
          <w:docGrid w:linePitch="360"/>
        </w:sectPr>
      </w:pPr>
      <w:r>
        <w:rPr>
          <w:lang w:val="ru-RU" w:eastAsia="ru-RU" w:bidi="ru-RU"/>
          <w:sz w:val="24"/>
          <w:szCs w:val="24"/>
          <w:w w:val="100"/>
          <w:spacing w:val="0"/>
          <w:color w:val="000000"/>
          <w:position w:val="0"/>
        </w:rPr>
        <w:t>Решение может быть обжаловано в арбитражный суд в течение трех месяцев со дня его вынесения.</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377" w:line="240" w:lineRule="exact"/>
        <w:ind w:left="0" w:right="0" w:firstLine="0"/>
      </w:pPr>
      <w:r>
        <w:rPr>
          <w:lang w:val="ru-RU" w:eastAsia="ru-RU" w:bidi="ru-RU"/>
          <w:sz w:val="24"/>
          <w:szCs w:val="24"/>
          <w:w w:val="100"/>
          <w:spacing w:val="0"/>
          <w:color w:val="000000"/>
          <w:position w:val="0"/>
        </w:rPr>
        <w:t>Председатель Комиссии:</w:t>
      </w:r>
    </w:p>
    <w:p>
      <w:pPr>
        <w:pStyle w:val="Style20"/>
        <w:widowControl w:val="0"/>
        <w:keepNext w:val="0"/>
        <w:keepLines w:val="0"/>
        <w:shd w:val="clear" w:color="auto" w:fill="auto"/>
        <w:bidi w:val="0"/>
        <w:jc w:val="left"/>
        <w:spacing w:before="0" w:after="372" w:line="240" w:lineRule="exact"/>
        <w:ind w:left="0" w:right="0" w:firstLine="0"/>
      </w:pPr>
      <w:r>
        <w:rPr>
          <w:lang w:val="ru-RU" w:eastAsia="ru-RU" w:bidi="ru-RU"/>
          <w:sz w:val="24"/>
          <w:szCs w:val="24"/>
          <w:w w:val="100"/>
          <w:spacing w:val="0"/>
          <w:color w:val="000000"/>
          <w:position w:val="0"/>
        </w:rPr>
        <w:t>Заместитель председателя Комиссии:</w:t>
      </w:r>
    </w:p>
    <w:p>
      <w:pPr>
        <w:pStyle w:val="Style20"/>
        <w:framePr w:h="243" w:wrap="around" w:vAnchor="text" w:hAnchor="margin" w:x="8059" w:y="6"/>
        <w:widowControl w:val="0"/>
        <w:keepNext w:val="0"/>
        <w:keepLines w:val="0"/>
        <w:shd w:val="clear" w:color="auto" w:fill="auto"/>
        <w:bidi w:val="0"/>
        <w:jc w:val="left"/>
        <w:spacing w:before="0" w:after="0" w:line="230" w:lineRule="exact"/>
        <w:ind w:left="100" w:right="0" w:firstLine="0"/>
      </w:pPr>
      <w:r>
        <w:rPr>
          <w:rStyle w:val="CharStyle26"/>
          <w:spacing w:val="0"/>
        </w:rPr>
        <w:t>О.И. Панина</w:t>
      </w:r>
    </w:p>
    <w:p>
      <w:pPr>
        <w:pStyle w:val="Style20"/>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 Комиссии:</w:t>
      </w:r>
    </w:p>
    <w:sectPr>
      <w:type w:val="continuous"/>
      <w:pgSz w:w="11906" w:h="16838"/>
      <w:pgMar w:top="4814" w:left="982" w:right="6070" w:bottom="43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8"/>
      <w:szCs w:val="18"/>
      <w:rFonts w:ascii="Times New Roman" w:eastAsia="Times New Roman" w:hAnsi="Times New Roman" w:cs="Times New Roman"/>
      <w:spacing w:val="13"/>
    </w:rPr>
  </w:style>
  <w:style w:type="character" w:customStyle="1" w:styleId="CharStyle6">
    <w:name w:val="Основной текст (3) Exact"/>
    <w:basedOn w:val="DefaultParagraphFont"/>
    <w:link w:val="Style5"/>
    <w:rPr>
      <w:b w:val="0"/>
      <w:bCs w:val="0"/>
      <w:i w:val="0"/>
      <w:iCs w:val="0"/>
      <w:u w:val="none"/>
      <w:strike w:val="0"/>
      <w:smallCaps w:val="0"/>
      <w:sz w:val="20"/>
      <w:szCs w:val="20"/>
      <w:rFonts w:ascii="Times New Roman" w:eastAsia="Times New Roman" w:hAnsi="Times New Roman" w:cs="Times New Roman"/>
      <w:spacing w:val="12"/>
    </w:rPr>
  </w:style>
  <w:style w:type="character" w:customStyle="1" w:styleId="CharStyle7">
    <w:name w:val="Основной текст (3) + 9 pt,Интервал 0 pt Exact"/>
    <w:basedOn w:val="CharStyle6"/>
    <w:rPr>
      <w:lang w:val="ru-RU" w:eastAsia="ru-RU" w:bidi="ru-RU"/>
      <w:sz w:val="18"/>
      <w:szCs w:val="18"/>
      <w:w w:val="100"/>
      <w:spacing w:val="13"/>
      <w:color w:val="000000"/>
      <w:position w:val="0"/>
    </w:rPr>
  </w:style>
  <w:style w:type="character" w:customStyle="1" w:styleId="CharStyle9">
    <w:name w:val="Основной текст (4) Exact"/>
    <w:basedOn w:val="DefaultParagraphFont"/>
    <w:link w:val="Style8"/>
    <w:rPr>
      <w:b w:val="0"/>
      <w:bCs w:val="0"/>
      <w:i w:val="0"/>
      <w:iCs w:val="0"/>
      <w:u w:val="none"/>
      <w:strike w:val="0"/>
      <w:smallCaps w:val="0"/>
      <w:sz w:val="14"/>
      <w:szCs w:val="14"/>
      <w:rFonts w:ascii="Times New Roman" w:eastAsia="Times New Roman" w:hAnsi="Times New Roman" w:cs="Times New Roman"/>
      <w:spacing w:val="7"/>
    </w:rPr>
  </w:style>
  <w:style w:type="character" w:customStyle="1" w:styleId="CharStyle10">
    <w:name w:val="Основной текст (4) + Lucida Sans Unicode,6,5 pt,Полужирный,Интервал 0 pt Exact"/>
    <w:basedOn w:val="CharStyle9"/>
    <w:rPr>
      <w:lang w:val="ru-RU" w:eastAsia="ru-RU" w:bidi="ru-RU"/>
      <w:b/>
      <w:bCs/>
      <w:sz w:val="13"/>
      <w:szCs w:val="13"/>
      <w:rFonts w:ascii="Lucida Sans Unicode" w:eastAsia="Lucida Sans Unicode" w:hAnsi="Lucida Sans Unicode" w:cs="Lucida Sans Unicode"/>
      <w:w w:val="100"/>
      <w:spacing w:val="-5"/>
      <w:color w:val="000000"/>
      <w:position w:val="0"/>
    </w:rPr>
  </w:style>
  <w:style w:type="character" w:customStyle="1" w:styleId="CharStyle12">
    <w:name w:val="Основной текст (5) Exact"/>
    <w:basedOn w:val="DefaultParagraphFont"/>
    <w:link w:val="Style11"/>
    <w:rPr>
      <w:b w:val="0"/>
      <w:bCs w:val="0"/>
      <w:i/>
      <w:iCs/>
      <w:u w:val="none"/>
      <w:strike w:val="0"/>
      <w:smallCaps w:val="0"/>
      <w:sz w:val="32"/>
      <w:szCs w:val="32"/>
      <w:rFonts w:ascii="Georgia" w:eastAsia="Georgia" w:hAnsi="Georgia" w:cs="Georgia"/>
      <w:spacing w:val="-18"/>
    </w:rPr>
  </w:style>
  <w:style w:type="character" w:customStyle="1" w:styleId="CharStyle13">
    <w:name w:val="Основной текст (5) Exact"/>
    <w:basedOn w:val="CharStyle12"/>
    <w:rPr>
      <w:lang w:val="ru-RU" w:eastAsia="ru-RU" w:bidi="ru-RU"/>
      <w:u w:val="single"/>
      <w:w w:val="100"/>
      <w:color w:val="000000"/>
      <w:position w:val="0"/>
    </w:rPr>
  </w:style>
  <w:style w:type="character" w:customStyle="1" w:styleId="CharStyle14">
    <w:name w:val="Основной текст (5) + Times New Roman,18 pt,Не курсив,Интервал 0 pt Exact"/>
    <w:basedOn w:val="CharStyle12"/>
    <w:rPr>
      <w:lang w:val="ru-RU" w:eastAsia="ru-RU" w:bidi="ru-RU"/>
      <w:i/>
      <w:iCs/>
      <w:u w:val="single"/>
      <w:sz w:val="36"/>
      <w:szCs w:val="36"/>
      <w:rFonts w:ascii="Times New Roman" w:eastAsia="Times New Roman" w:hAnsi="Times New Roman" w:cs="Times New Roman"/>
      <w:w w:val="100"/>
      <w:spacing w:val="-19"/>
      <w:color w:val="000000"/>
      <w:position w:val="0"/>
    </w:rPr>
  </w:style>
  <w:style w:type="character" w:customStyle="1" w:styleId="CharStyle15">
    <w:name w:val="Основной текст (5) + Times New Roman,18 pt,Не курсив,Интервал 0 pt Exact"/>
    <w:basedOn w:val="CharStyle12"/>
    <w:rPr>
      <w:lang w:val="ru-RU" w:eastAsia="ru-RU" w:bidi="ru-RU"/>
      <w:i/>
      <w:iCs/>
      <w:sz w:val="36"/>
      <w:szCs w:val="36"/>
      <w:rFonts w:ascii="Times New Roman" w:eastAsia="Times New Roman" w:hAnsi="Times New Roman" w:cs="Times New Roman"/>
      <w:w w:val="100"/>
      <w:spacing w:val="-19"/>
      <w:color w:val="000000"/>
      <w:position w:val="0"/>
    </w:rPr>
  </w:style>
  <w:style w:type="character" w:customStyle="1" w:styleId="CharStyle16">
    <w:name w:val="Основной текст (5) + Courier New,13 pt,Не курсив,Интервал -1 pt Exact"/>
    <w:basedOn w:val="CharStyle12"/>
    <w:rPr>
      <w:lang w:val="ru-RU" w:eastAsia="ru-RU" w:bidi="ru-RU"/>
      <w:i/>
      <w:iCs/>
      <w:sz w:val="26"/>
      <w:szCs w:val="26"/>
      <w:rFonts w:ascii="Courier New" w:eastAsia="Courier New" w:hAnsi="Courier New" w:cs="Courier New"/>
      <w:w w:val="100"/>
      <w:spacing w:val="-38"/>
      <w:color w:val="000000"/>
      <w:position w:val="0"/>
    </w:rPr>
  </w:style>
  <w:style w:type="character" w:customStyle="1" w:styleId="CharStyle17">
    <w:name w:val="Основной текст (5) + Times New Roman,10 pt,Не курсив,Интервал 0 pt Exact"/>
    <w:basedOn w:val="CharStyle12"/>
    <w:rPr>
      <w:lang w:val="1024"/>
      <w:i/>
      <w:iCs/>
      <w:sz w:val="20"/>
      <w:szCs w:val="20"/>
      <w:rFonts w:ascii="Times New Roman" w:eastAsia="Times New Roman" w:hAnsi="Times New Roman" w:cs="Times New Roman"/>
      <w:w w:val="100"/>
      <w:spacing w:val="0"/>
      <w:color w:val="000000"/>
      <w:position w:val="0"/>
    </w:rPr>
  </w:style>
  <w:style w:type="character" w:customStyle="1" w:styleId="CharStyle19">
    <w:name w:val="Основной текст (6) Exact"/>
    <w:basedOn w:val="DefaultParagraphFont"/>
    <w:link w:val="Style18"/>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 19 pt"/>
    <w:basedOn w:val="CharStyle21"/>
    <w:rPr>
      <w:lang w:val="ru-RU" w:eastAsia="ru-RU" w:bidi="ru-RU"/>
      <w:sz w:val="38"/>
      <w:szCs w:val="38"/>
      <w:w w:val="100"/>
      <w:spacing w:val="0"/>
      <w:color w:val="000000"/>
      <w:position w:val="0"/>
    </w:rPr>
  </w:style>
  <w:style w:type="character" w:customStyle="1" w:styleId="CharStyle23">
    <w:name w:val="Основной текст + Интервал 3 pt"/>
    <w:basedOn w:val="CharStyle21"/>
    <w:rPr>
      <w:lang w:val="ru-RU" w:eastAsia="ru-RU" w:bidi="ru-RU"/>
      <w:sz w:val="24"/>
      <w:szCs w:val="24"/>
      <w:w w:val="100"/>
      <w:spacing w:val="70"/>
      <w:color w:val="000000"/>
      <w:position w:val="0"/>
    </w:rPr>
  </w:style>
  <w:style w:type="character" w:customStyle="1" w:styleId="CharStyle24">
    <w:name w:val="Основной текст"/>
    <w:basedOn w:val="CharStyle21"/>
    <w:rPr>
      <w:lang w:val="ru-RU" w:eastAsia="ru-RU" w:bidi="ru-RU"/>
      <w:u w:val="single"/>
      <w:sz w:val="24"/>
      <w:szCs w:val="24"/>
      <w:w w:val="100"/>
      <w:spacing w:val="0"/>
      <w:color w:val="000000"/>
      <w:position w:val="0"/>
    </w:rPr>
  </w:style>
  <w:style w:type="character" w:customStyle="1" w:styleId="CharStyle25">
    <w:name w:val="Основной текст"/>
    <w:basedOn w:val="CharStyle21"/>
    <w:rPr>
      <w:lang w:val="ru-RU" w:eastAsia="ru-RU" w:bidi="ru-RU"/>
      <w:sz w:val="24"/>
      <w:szCs w:val="24"/>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jc w:val="center"/>
      <w:spacing w:after="60" w:line="226" w:lineRule="exact"/>
    </w:pPr>
    <w:rPr>
      <w:b w:val="0"/>
      <w:bCs w:val="0"/>
      <w:i w:val="0"/>
      <w:iCs w:val="0"/>
      <w:u w:val="none"/>
      <w:strike w:val="0"/>
      <w:smallCaps w:val="0"/>
      <w:sz w:val="18"/>
      <w:szCs w:val="18"/>
      <w:rFonts w:ascii="Times New Roman" w:eastAsia="Times New Roman" w:hAnsi="Times New Roman" w:cs="Times New Roman"/>
      <w:spacing w:val="13"/>
    </w:rPr>
  </w:style>
  <w:style w:type="paragraph" w:customStyle="1" w:styleId="Style5">
    <w:name w:val="Основной текст (3)"/>
    <w:basedOn w:val="Normal"/>
    <w:link w:val="CharStyle6"/>
    <w:pPr>
      <w:widowControl w:val="0"/>
      <w:shd w:val="clear" w:color="auto" w:fill="FFFFFF"/>
      <w:jc w:val="center"/>
      <w:spacing w:before="60" w:after="60" w:line="245" w:lineRule="exact"/>
    </w:pPr>
    <w:rPr>
      <w:b w:val="0"/>
      <w:bCs w:val="0"/>
      <w:i w:val="0"/>
      <w:iCs w:val="0"/>
      <w:u w:val="none"/>
      <w:strike w:val="0"/>
      <w:smallCaps w:val="0"/>
      <w:sz w:val="20"/>
      <w:szCs w:val="20"/>
      <w:rFonts w:ascii="Times New Roman" w:eastAsia="Times New Roman" w:hAnsi="Times New Roman" w:cs="Times New Roman"/>
      <w:spacing w:val="12"/>
    </w:rPr>
  </w:style>
  <w:style w:type="paragraph" w:customStyle="1" w:styleId="Style8">
    <w:name w:val="Основной текст (4)"/>
    <w:basedOn w:val="Normal"/>
    <w:link w:val="CharStyle9"/>
    <w:pPr>
      <w:widowControl w:val="0"/>
      <w:shd w:val="clear" w:color="auto" w:fill="FFFFFF"/>
      <w:jc w:val="center"/>
      <w:spacing w:before="60" w:after="60" w:line="206" w:lineRule="exact"/>
    </w:pPr>
    <w:rPr>
      <w:b w:val="0"/>
      <w:bCs w:val="0"/>
      <w:i w:val="0"/>
      <w:iCs w:val="0"/>
      <w:u w:val="none"/>
      <w:strike w:val="0"/>
      <w:smallCaps w:val="0"/>
      <w:sz w:val="14"/>
      <w:szCs w:val="14"/>
      <w:rFonts w:ascii="Times New Roman" w:eastAsia="Times New Roman" w:hAnsi="Times New Roman" w:cs="Times New Roman"/>
      <w:spacing w:val="7"/>
    </w:rPr>
  </w:style>
  <w:style w:type="paragraph" w:customStyle="1" w:styleId="Style11">
    <w:name w:val="Основной текст (5)"/>
    <w:basedOn w:val="Normal"/>
    <w:link w:val="CharStyle12"/>
    <w:pPr>
      <w:widowControl w:val="0"/>
      <w:shd w:val="clear" w:color="auto" w:fill="FFFFFF"/>
      <w:jc w:val="both"/>
      <w:spacing w:before="60" w:after="360" w:line="0" w:lineRule="exact"/>
    </w:pPr>
    <w:rPr>
      <w:b w:val="0"/>
      <w:bCs w:val="0"/>
      <w:i/>
      <w:iCs/>
      <w:u w:val="none"/>
      <w:strike w:val="0"/>
      <w:smallCaps w:val="0"/>
      <w:sz w:val="32"/>
      <w:szCs w:val="32"/>
      <w:rFonts w:ascii="Georgia" w:eastAsia="Georgia" w:hAnsi="Georgia" w:cs="Georgia"/>
      <w:spacing w:val="-18"/>
    </w:rPr>
  </w:style>
  <w:style w:type="paragraph" w:customStyle="1" w:styleId="Style18">
    <w:name w:val="Основной текст (6)"/>
    <w:basedOn w:val="Normal"/>
    <w:link w:val="CharStyle19"/>
    <w:pPr>
      <w:widowControl w:val="0"/>
      <w:shd w:val="clear" w:color="auto" w:fill="FFFFFF"/>
      <w:jc w:val="both"/>
      <w:spacing w:before="360" w:line="0" w:lineRule="exact"/>
    </w:pPr>
    <w:rPr>
      <w:b w:val="0"/>
      <w:bCs w:val="0"/>
      <w:i w:val="0"/>
      <w:iCs w:val="0"/>
      <w:u w:val="none"/>
      <w:strike w:val="0"/>
      <w:smallCaps w:val="0"/>
      <w:sz w:val="19"/>
      <w:szCs w:val="19"/>
      <w:rFonts w:ascii="Times New Roman" w:eastAsia="Times New Roman" w:hAnsi="Times New Roman" w:cs="Times New Roman"/>
      <w:spacing w:val="2"/>
    </w:rPr>
  </w:style>
  <w:style w:type="paragraph" w:customStyle="1" w:styleId="Style20">
    <w:name w:val="Основной текст"/>
    <w:basedOn w:val="Normal"/>
    <w:link w:val="CharStyle21"/>
    <w:pPr>
      <w:widowControl w:val="0"/>
      <w:shd w:val="clear" w:color="auto" w:fill="FFFFFF"/>
      <w:spacing w:after="600" w:line="326"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