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24" w:after="0"/>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Государственному заказчику</w:t>
      </w:r>
    </w:p>
    <w:p>
      <w:pPr>
        <w:pStyle w:val="Style7"/>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ОГБУЗ «Смоленский областной противотуберкулезный клинический диспансер»</w:t>
      </w:r>
    </w:p>
    <w:p>
      <w:pPr>
        <w:pStyle w:val="Style9"/>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582" w:left="1275" w:right="2096" w:bottom="606" w:header="0" w:footer="3" w:gutter="0"/>
          <w:rtlGutter w:val="0"/>
          <w:cols w:num="2" w:space="720" w:equalWidth="0">
            <w:col w:w="3230" w:space="1219"/>
            <w:col w:w="4085"/>
          </w:cols>
          <w:noEndnote/>
          <w:docGrid w:linePitch="360"/>
        </w:sectPr>
      </w:pPr>
      <w:r>
        <w:rPr>
          <w:lang w:val="ru-RU" w:eastAsia="ru-RU" w:bidi="ru-RU"/>
          <w:w w:val="100"/>
          <w:spacing w:val="0"/>
          <w:color w:val="000000"/>
          <w:position w:val="0"/>
        </w:rPr>
        <w:t>ул. Коммунальная, д. 10, г. Смоленск, 214018</w:t>
      </w:r>
    </w:p>
    <w:p>
      <w:pPr>
        <w:widowControl w:val="0"/>
        <w:spacing w:before="106" w:after="10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1"/>
        <w:framePr w:h="232" w:wrap="around" w:vAnchor="text" w:hAnchor="margin" w:x="-148" w:y="1455"/>
        <w:widowControl w:val="0"/>
        <w:keepNext w:val="0"/>
        <w:keepLines w:val="0"/>
        <w:shd w:val="clear" w:color="auto" w:fill="auto"/>
        <w:bidi w:val="0"/>
        <w:jc w:val="left"/>
        <w:spacing w:before="0" w:after="0" w:line="150" w:lineRule="exact"/>
        <w:ind w:left="0" w:right="0" w:firstLine="0"/>
      </w:pPr>
      <w:r>
        <w:rPr>
          <w:rStyle w:val="CharStyle13"/>
          <w:b/>
          <w:bCs/>
          <w:i/>
          <w:iCs/>
          <w:spacing w:val="-30"/>
        </w:rPr>
        <w:t>/t.</w:t>
      </w:r>
    </w:p>
    <w:p>
      <w:pPr>
        <w:pStyle w:val="Style9"/>
        <w:framePr w:h="173" w:wrap="around" w:vAnchor="text" w:hAnchor="margin" w:x="-277" w:y="1940"/>
        <w:widowControl w:val="0"/>
        <w:keepNext w:val="0"/>
        <w:keepLines w:val="0"/>
        <w:shd w:val="clear" w:color="auto" w:fill="auto"/>
        <w:bidi w:val="0"/>
        <w:jc w:val="left"/>
        <w:spacing w:before="0" w:after="0" w:line="170" w:lineRule="exact"/>
        <w:ind w:left="0" w:right="0" w:firstLine="0"/>
      </w:pPr>
      <w:r>
        <w:rPr>
          <w:rStyle w:val="CharStyle14"/>
          <w:spacing w:val="0"/>
        </w:rPr>
        <w:t>на №</w:t>
      </w:r>
    </w:p>
    <w:p>
      <w:pPr>
        <w:widowControl w:val="0"/>
        <w:rPr>
          <w:sz w:val="2"/>
          <w:szCs w:val="2"/>
        </w:rPr>
      </w:pPr>
    </w:p>
    <w:p>
      <w:pPr>
        <w:pStyle w:val="Style15"/>
        <w:widowControl w:val="0"/>
        <w:keepNext/>
        <w:keepLines/>
        <w:shd w:val="clear" w:color="auto" w:fill="auto"/>
        <w:bidi w:val="0"/>
        <w:spacing w:before="0" w:after="0" w:line="260" w:lineRule="exact"/>
        <w:ind w:left="20" w:right="0" w:firstLine="0"/>
      </w:pPr>
      <w:bookmarkStart w:id="0" w:name="bookmark0"/>
      <w:r>
        <w:rPr>
          <w:lang w:val="ru-RU" w:eastAsia="ru-RU" w:bidi="ru-RU"/>
          <w:w w:val="100"/>
          <w:color w:val="000000"/>
          <w:position w:val="0"/>
        </w:rPr>
        <w:t>УПРАВЛЕНИЕ</w:t>
      </w:r>
      <w:bookmarkEnd w:id="0"/>
    </w:p>
    <w:p>
      <w:pPr>
        <w:pStyle w:val="Style3"/>
        <w:widowControl w:val="0"/>
        <w:keepNext w:val="0"/>
        <w:keepLines w:val="0"/>
        <w:shd w:val="clear" w:color="auto" w:fill="auto"/>
        <w:bidi w:val="0"/>
        <w:spacing w:before="0" w:after="0" w:line="221" w:lineRule="exact"/>
        <w:ind w:left="20" w:right="0" w:firstLine="0"/>
      </w:pPr>
      <w:r>
        <w:rPr>
          <w:lang w:val="ru-RU" w:eastAsia="ru-RU" w:bidi="ru-RU"/>
          <w:w w:val="100"/>
          <w:spacing w:val="0"/>
          <w:color w:val="000000"/>
          <w:position w:val="0"/>
        </w:rPr>
        <w:t>Федеральной антимонопольной службы по Смоленской области</w:t>
      </w:r>
    </w:p>
    <w:p>
      <w:pPr>
        <w:pStyle w:val="Style17"/>
        <w:widowControl w:val="0"/>
        <w:keepNext w:val="0"/>
        <w:keepLines w:val="0"/>
        <w:shd w:val="clear" w:color="auto" w:fill="auto"/>
        <w:bidi w:val="0"/>
        <w:jc w:val="left"/>
        <w:spacing w:before="0" w:after="170"/>
        <w:ind w:left="20" w:right="20" w:firstLine="0"/>
      </w:pPr>
      <w:r>
        <w:rPr>
          <w:lang w:val="ru-RU" w:eastAsia="ru-RU" w:bidi="ru-RU"/>
          <w:w w:val="100"/>
          <w:spacing w:val="0"/>
          <w:color w:val="000000"/>
          <w:position w:val="0"/>
        </w:rPr>
        <w:t xml:space="preserve">ул. Октябрьской Революции, 14а, г. Смоленск, 214000 тел. (4812) 38-62-22, факс (4812) 38-62-22 </w:t>
      </w:r>
      <w:r>
        <w:rPr>
          <w:lang w:val="en-US" w:eastAsia="en-US" w:bidi="en-US"/>
          <w:w w:val="100"/>
          <w:spacing w:val="0"/>
          <w:color w:val="000000"/>
          <w:position w:val="0"/>
        </w:rPr>
        <w:t xml:space="preserve">e-mail: </w:t>
      </w:r>
      <w:r>
        <w:fldChar w:fldCharType="begin"/>
      </w:r>
      <w:r>
        <w:rPr>
          <w:color w:val="000000"/>
        </w:rPr>
        <w:instrText> HYPERLINK "mailto:to67@fas.gov.ru" </w:instrText>
      </w:r>
      <w:r>
        <w:fldChar w:fldCharType="separate"/>
      </w:r>
      <w:r>
        <w:rPr>
          <w:rStyle w:val="Hyperlink"/>
          <w:lang w:val="en-US" w:eastAsia="en-US" w:bidi="en-US"/>
          <w:w w:val="100"/>
          <w:spacing w:val="0"/>
          <w:position w:val="0"/>
        </w:rPr>
        <w:t>to67@fas.gov.ru</w:t>
      </w:r>
      <w:r>
        <w:fldChar w:fldCharType="end"/>
      </w:r>
    </w:p>
    <w:p>
      <w:pPr>
        <w:pStyle w:val="Style19"/>
        <w:widowControl w:val="0"/>
        <w:keepNext w:val="0"/>
        <w:keepLines w:val="0"/>
        <w:shd w:val="clear" w:color="auto" w:fill="auto"/>
        <w:bidi w:val="0"/>
        <w:jc w:val="left"/>
        <w:spacing w:before="0" w:after="214" w:line="190" w:lineRule="exact"/>
        <w:ind w:left="2120" w:right="0" w:firstLine="0"/>
      </w:pPr>
      <w:r>
        <w:rPr>
          <w:lang w:val="ru-RU" w:eastAsia="ru-RU" w:bidi="ru-RU"/>
          <w:w w:val="100"/>
          <w:spacing w:val="0"/>
          <w:color w:val="000000"/>
          <w:position w:val="0"/>
        </w:rPr>
        <w:t>№</w:t>
      </w:r>
    </w:p>
    <w:p>
      <w:pPr>
        <w:pStyle w:val="Style9"/>
        <w:widowControl w:val="0"/>
        <w:keepNext w:val="0"/>
        <w:keepLines w:val="0"/>
        <w:shd w:val="clear" w:color="auto" w:fill="auto"/>
        <w:bidi w:val="0"/>
        <w:jc w:val="left"/>
        <w:spacing w:before="0" w:after="0" w:line="180" w:lineRule="exact"/>
        <w:ind w:left="1900" w:right="0" w:firstLine="0"/>
      </w:pPr>
      <w:r>
        <w:rPr>
          <w:lang w:val="ru-RU" w:eastAsia="ru-RU" w:bidi="ru-RU"/>
          <w:w w:val="100"/>
          <w:spacing w:val="0"/>
          <w:color w:val="000000"/>
          <w:position w:val="0"/>
        </w:rPr>
        <w:t>от</w:t>
      </w:r>
    </w:p>
    <w:p>
      <w:pPr>
        <w:pStyle w:val="Style5"/>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Уполномоченному органу</w:t>
      </w:r>
    </w:p>
    <w:p>
      <w:pPr>
        <w:pStyle w:val="Style7"/>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Главному управлению Смоленской области по регулированию контрактной системы</w:t>
      </w:r>
    </w:p>
    <w:p>
      <w:pPr>
        <w:pStyle w:val="Style9"/>
        <w:widowControl w:val="0"/>
        <w:keepNext w:val="0"/>
        <w:keepLines w:val="0"/>
        <w:shd w:val="clear" w:color="auto" w:fill="auto"/>
        <w:bidi w:val="0"/>
        <w:jc w:val="left"/>
        <w:spacing w:before="0" w:after="292" w:line="230" w:lineRule="exact"/>
        <w:ind w:left="20" w:right="0" w:firstLine="0"/>
      </w:pPr>
      <w:r>
        <w:rPr>
          <w:lang w:val="ru-RU" w:eastAsia="ru-RU" w:bidi="ru-RU"/>
          <w:w w:val="100"/>
          <w:spacing w:val="0"/>
          <w:color w:val="000000"/>
          <w:position w:val="0"/>
        </w:rPr>
        <w:t>пл. Ленина, д. 1 г. Смоленск, 214008</w:t>
      </w:r>
    </w:p>
    <w:p>
      <w:pPr>
        <w:pStyle w:val="Style5"/>
        <w:widowControl w:val="0"/>
        <w:keepNext w:val="0"/>
        <w:keepLines w:val="0"/>
        <w:shd w:val="clear" w:color="auto" w:fill="auto"/>
        <w:bidi w:val="0"/>
        <w:jc w:val="left"/>
        <w:spacing w:before="0" w:after="2" w:line="240" w:lineRule="exact"/>
        <w:ind w:left="20" w:right="0" w:firstLine="0"/>
      </w:pPr>
      <w:r>
        <w:rPr>
          <w:lang w:val="ru-RU" w:eastAsia="ru-RU" w:bidi="ru-RU"/>
          <w:sz w:val="24"/>
          <w:szCs w:val="24"/>
          <w:w w:val="100"/>
          <w:spacing w:val="0"/>
          <w:color w:val="000000"/>
          <w:position w:val="0"/>
        </w:rPr>
        <w:t>Заявителю</w:t>
      </w:r>
    </w:p>
    <w:p>
      <w:pPr>
        <w:pStyle w:val="Style7"/>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ООО «Медтехсинтез»</w:t>
      </w:r>
    </w:p>
    <w:p>
      <w:pPr>
        <w:pStyle w:val="Style9"/>
        <w:widowControl w:val="0"/>
        <w:keepNext w:val="0"/>
        <w:keepLines w:val="0"/>
        <w:shd w:val="clear" w:color="auto" w:fill="auto"/>
        <w:bidi w:val="0"/>
        <w:jc w:val="left"/>
        <w:spacing w:before="0" w:after="0" w:line="230" w:lineRule="exact"/>
        <w:ind w:left="20" w:right="0" w:firstLine="0"/>
        <w:sectPr>
          <w:type w:val="continuous"/>
          <w:pgSz w:w="11906" w:h="16838"/>
          <w:pgMar w:top="567" w:left="1064" w:right="987" w:bottom="591" w:header="0" w:footer="3" w:gutter="0"/>
          <w:rtlGutter w:val="0"/>
          <w:cols w:num="2" w:space="720" w:equalWidth="0">
            <w:col w:w="3653" w:space="994"/>
            <w:col w:w="5208"/>
          </w:cols>
          <w:noEndnote/>
          <w:docGrid w:linePitch="360"/>
        </w:sectPr>
      </w:pPr>
      <w:r>
        <w:rPr>
          <w:lang w:val="ru-RU" w:eastAsia="ru-RU" w:bidi="ru-RU"/>
          <w:w w:val="100"/>
          <w:spacing w:val="0"/>
          <w:color w:val="000000"/>
          <w:position w:val="0"/>
        </w:rPr>
        <w:t>ул. Советская, д. 64, г. Тула, 300041</w:t>
      </w:r>
    </w:p>
    <w:p>
      <w:pPr>
        <w:widowControl w:val="0"/>
        <w:spacing w:before="20" w:after="2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left"/>
        <w:spacing w:before="0" w:after="0" w:line="240" w:lineRule="exact"/>
        <w:ind w:left="4760" w:right="0" w:firstLine="0"/>
      </w:pPr>
      <w:r>
        <w:rPr>
          <w:lang w:val="ru-RU" w:eastAsia="ru-RU" w:bidi="ru-RU"/>
          <w:sz w:val="24"/>
          <w:szCs w:val="24"/>
          <w:w w:val="100"/>
          <w:spacing w:val="0"/>
          <w:color w:val="000000"/>
          <w:position w:val="0"/>
        </w:rPr>
        <w:t>Электронной площадке</w:t>
      </w:r>
    </w:p>
    <w:p>
      <w:pPr>
        <w:pStyle w:val="Style7"/>
        <w:widowControl w:val="0"/>
        <w:keepNext w:val="0"/>
        <w:keepLines w:val="0"/>
        <w:shd w:val="clear" w:color="auto" w:fill="auto"/>
        <w:bidi w:val="0"/>
        <w:jc w:val="left"/>
        <w:spacing w:before="0" w:after="12" w:line="240" w:lineRule="exact"/>
        <w:ind w:left="4760" w:right="0" w:firstLine="0"/>
      </w:pPr>
      <w:r>
        <w:rPr>
          <w:lang w:val="ru-RU" w:eastAsia="ru-RU" w:bidi="ru-RU"/>
          <w:sz w:val="24"/>
          <w:szCs w:val="24"/>
          <w:w w:val="100"/>
          <w:spacing w:val="0"/>
          <w:color w:val="000000"/>
          <w:position w:val="0"/>
        </w:rPr>
        <w:t>АО «ЕЭТП»</w:t>
      </w:r>
    </w:p>
    <w:p>
      <w:pPr>
        <w:pStyle w:val="Style9"/>
        <w:widowControl w:val="0"/>
        <w:keepNext w:val="0"/>
        <w:keepLines w:val="0"/>
        <w:shd w:val="clear" w:color="auto" w:fill="auto"/>
        <w:bidi w:val="0"/>
        <w:jc w:val="left"/>
        <w:spacing w:before="0" w:after="1280" w:line="180" w:lineRule="exact"/>
        <w:ind w:left="4760" w:right="0" w:firstLine="0"/>
      </w:pPr>
      <w:r>
        <w:fldChar w:fldCharType="begin"/>
      </w:r>
      <w:r>
        <w:rPr>
          <w:color w:val="000000"/>
        </w:rPr>
        <w:instrText> HYPERLINK "mailto:info@roseltorg.ru" </w:instrText>
      </w:r>
      <w:r>
        <w:fldChar w:fldCharType="separate"/>
      </w:r>
      <w:r>
        <w:rPr>
          <w:rStyle w:val="Hyperlink"/>
          <w:lang w:val="en-US" w:eastAsia="en-US" w:bidi="en-US"/>
          <w:w w:val="100"/>
          <w:spacing w:val="0"/>
          <w:position w:val="0"/>
        </w:rPr>
        <w:t>info@roseltorg.ru</w:t>
      </w:r>
      <w:r>
        <w:fldChar w:fldCharType="end"/>
      </w:r>
    </w:p>
    <w:p>
      <w:pPr>
        <w:pStyle w:val="Style7"/>
        <w:widowControl w:val="0"/>
        <w:keepNext w:val="0"/>
        <w:keepLines w:val="0"/>
        <w:shd w:val="clear" w:color="auto" w:fill="auto"/>
        <w:bidi w:val="0"/>
        <w:jc w:val="center"/>
        <w:spacing w:before="0" w:after="268" w:line="302" w:lineRule="exact"/>
        <w:ind w:left="240" w:right="0" w:firstLine="0"/>
      </w:pPr>
      <w:r>
        <w:rPr>
          <w:lang w:val="ru-RU" w:eastAsia="ru-RU" w:bidi="ru-RU"/>
          <w:sz w:val="24"/>
          <w:szCs w:val="24"/>
          <w:w w:val="100"/>
          <w:spacing w:val="0"/>
          <w:color w:val="000000"/>
          <w:position w:val="0"/>
        </w:rPr>
        <w:t>РЕШЕНИЕ по делу №269/17-ГЗ/Ж о нарушении законодательства Российской Федерации о контрактной системе</w:t>
      </w:r>
    </w:p>
    <w:p>
      <w:pPr>
        <w:pStyle w:val="Style7"/>
        <w:tabs>
          <w:tab w:leader="none" w:pos="8564" w:val="right"/>
          <w:tab w:leader="none" w:pos="9735" w:val="right"/>
        </w:tabs>
        <w:widowControl w:val="0"/>
        <w:keepNext w:val="0"/>
        <w:keepLines w:val="0"/>
        <w:shd w:val="clear" w:color="auto" w:fill="auto"/>
        <w:bidi w:val="0"/>
        <w:jc w:val="both"/>
        <w:spacing w:before="0" w:after="0" w:line="418" w:lineRule="exact"/>
        <w:ind w:left="20" w:right="0" w:firstLine="0"/>
      </w:pPr>
      <w:r>
        <w:rPr>
          <w:lang w:val="ru-RU" w:eastAsia="ru-RU" w:bidi="ru-RU"/>
          <w:sz w:val="24"/>
          <w:szCs w:val="24"/>
          <w:w w:val="100"/>
          <w:spacing w:val="0"/>
          <w:color w:val="000000"/>
          <w:position w:val="0"/>
        </w:rPr>
        <w:t>13 ноября 2017 года</w:t>
        <w:tab/>
        <w:t>г.</w:t>
        <w:tab/>
        <w:t>Смоленск</w:t>
      </w:r>
    </w:p>
    <w:p>
      <w:pPr>
        <w:pStyle w:val="Style7"/>
        <w:framePr w:h="241" w:wrap="around" w:vAnchor="text" w:hAnchor="margin" w:x="49" w:y="720"/>
        <w:tabs>
          <w:tab w:leader="none" w:pos="3336" w:val="right"/>
          <w:tab w:leader="none" w:pos="3898" w:val="right"/>
          <w:tab w:leader="none" w:pos="5088" w:val="right"/>
        </w:tabs>
        <w:widowControl w:val="0"/>
        <w:keepNext w:val="0"/>
        <w:keepLines w:val="0"/>
        <w:shd w:val="clear" w:color="auto" w:fill="auto"/>
        <w:bidi w:val="0"/>
        <w:jc w:val="both"/>
        <w:spacing w:before="0" w:after="0" w:line="230" w:lineRule="exact"/>
        <w:ind w:left="0" w:right="0" w:firstLine="0"/>
      </w:pPr>
      <w:r>
        <w:rPr>
          <w:rStyle w:val="CharStyle21"/>
          <w:spacing w:val="0"/>
        </w:rPr>
        <w:t>Председатель Комиссии:</w:t>
        <w:tab/>
        <w:t>-</w:t>
        <w:tab/>
        <w:t>Н.А.</w:t>
        <w:tab/>
        <w:t>Аюкитова</w:t>
      </w:r>
    </w:p>
    <w:p>
      <w:pPr>
        <w:pStyle w:val="Style7"/>
        <w:widowControl w:val="0"/>
        <w:keepNext w:val="0"/>
        <w:keepLines w:val="0"/>
        <w:shd w:val="clear" w:color="auto" w:fill="auto"/>
        <w:bidi w:val="0"/>
        <w:jc w:val="both"/>
        <w:spacing w:before="0" w:after="336" w:line="418" w:lineRule="exact"/>
        <w:ind w:left="20" w:right="0" w:firstLine="0"/>
      </w:pPr>
      <w:r>
        <w:rPr>
          <w:lang w:val="ru-RU" w:eastAsia="ru-RU" w:bidi="ru-RU"/>
          <w:sz w:val="24"/>
          <w:szCs w:val="24"/>
          <w:w w:val="100"/>
          <w:spacing w:val="0"/>
          <w:color w:val="000000"/>
          <w:position w:val="0"/>
        </w:rPr>
        <w:t>Комиссия Смоленского У ФАС России по контролю в сфере закупок, в составе:</w:t>
      </w:r>
    </w:p>
    <w:p>
      <w:pPr>
        <w:pStyle w:val="Style7"/>
        <w:widowControl w:val="0"/>
        <w:keepNext w:val="0"/>
        <w:keepLines w:val="0"/>
        <w:shd w:val="clear" w:color="auto" w:fill="auto"/>
        <w:bidi w:val="0"/>
        <w:jc w:val="left"/>
        <w:spacing w:before="0" w:after="0"/>
        <w:ind w:left="6000" w:right="0"/>
        <w:sectPr>
          <w:type w:val="continuous"/>
          <w:pgSz w:w="11906" w:h="16838"/>
          <w:pgMar w:top="582" w:left="949" w:right="709" w:bottom="606" w:header="0" w:footer="3" w:gutter="0"/>
          <w:rtlGutter w:val="0"/>
          <w:cols w:space="720"/>
          <w:noEndnote/>
          <w:docGrid w:linePitch="360"/>
        </w:sectPr>
      </w:pPr>
      <w:r>
        <w:rPr>
          <w:lang w:val="ru-RU" w:eastAsia="ru-RU" w:bidi="ru-RU"/>
          <w:sz w:val="24"/>
          <w:szCs w:val="24"/>
          <w:w w:val="100"/>
          <w:spacing w:val="0"/>
          <w:color w:val="000000"/>
          <w:position w:val="0"/>
        </w:rPr>
        <w:t>- руководитель Смоленского У ФАС России;</w:t>
      </w:r>
    </w:p>
    <w:p>
      <w:pPr>
        <w:pStyle w:val="Style7"/>
        <w:framePr w:w="2168" w:h="223" w:wrap="none" w:vAnchor="text" w:hAnchor="margin" w:x="182" w:y="3"/>
        <w:widowControl w:val="0"/>
        <w:keepNext w:val="0"/>
        <w:keepLines w:val="0"/>
        <w:shd w:val="clear" w:color="auto" w:fill="auto"/>
        <w:bidi w:val="0"/>
        <w:jc w:val="left"/>
        <w:spacing w:before="0" w:after="0" w:line="230" w:lineRule="exact"/>
        <w:ind w:left="100" w:right="0" w:firstLine="0"/>
      </w:pPr>
      <w:r>
        <w:rPr>
          <w:rStyle w:val="CharStyle21"/>
          <w:spacing w:val="0"/>
        </w:rPr>
        <w:t>Члены Комиссии:</w:t>
      </w:r>
    </w:p>
    <w:p>
      <w:pPr>
        <w:pStyle w:val="Style7"/>
        <w:framePr w:w="1717" w:h="230" w:wrap="none" w:vAnchor="text" w:hAnchor="margin" w:x="3599" w:y="3"/>
        <w:widowControl w:val="0"/>
        <w:keepNext w:val="0"/>
        <w:keepLines w:val="0"/>
        <w:shd w:val="clear" w:color="auto" w:fill="auto"/>
        <w:bidi w:val="0"/>
        <w:jc w:val="left"/>
        <w:spacing w:before="0" w:after="0" w:line="230" w:lineRule="exact"/>
        <w:ind w:left="100" w:right="0" w:firstLine="0"/>
      </w:pPr>
      <w:r>
        <w:rPr>
          <w:rStyle w:val="CharStyle21"/>
          <w:spacing w:val="0"/>
        </w:rPr>
        <w:t>А.Е. Лукашев</w:t>
      </w:r>
    </w:p>
    <w:p>
      <w:pPr>
        <w:pStyle w:val="Style7"/>
        <w:framePr w:w="1650" w:h="532" w:wrap="none" w:vAnchor="text" w:hAnchor="margin" w:x="8534" w:y="600"/>
        <w:widowControl w:val="0"/>
        <w:keepNext w:val="0"/>
        <w:keepLines w:val="0"/>
        <w:shd w:val="clear" w:color="auto" w:fill="auto"/>
        <w:bidi w:val="0"/>
        <w:jc w:val="right"/>
        <w:spacing w:before="0" w:after="3" w:line="230" w:lineRule="exact"/>
        <w:ind w:left="0" w:right="100" w:firstLine="0"/>
      </w:pPr>
      <w:r>
        <w:rPr>
          <w:rStyle w:val="CharStyle21"/>
          <w:spacing w:val="0"/>
        </w:rPr>
        <w:t>контроля</w:t>
      </w:r>
    </w:p>
    <w:p>
      <w:pPr>
        <w:pStyle w:val="Style7"/>
        <w:framePr w:w="1650" w:h="532" w:wrap="none" w:vAnchor="text" w:hAnchor="margin" w:x="8534" w:y="600"/>
        <w:widowControl w:val="0"/>
        <w:keepNext w:val="0"/>
        <w:keepLines w:val="0"/>
        <w:shd w:val="clear" w:color="auto" w:fill="auto"/>
        <w:bidi w:val="0"/>
        <w:jc w:val="right"/>
        <w:spacing w:before="0" w:after="0" w:line="230" w:lineRule="exact"/>
        <w:ind w:left="0" w:right="100" w:firstLine="0"/>
      </w:pPr>
      <w:r>
        <w:rPr>
          <w:rStyle w:val="CharStyle21"/>
          <w:spacing w:val="0"/>
        </w:rPr>
        <w:t>Смоленского</w:t>
      </w:r>
    </w:p>
    <w:p>
      <w:pPr>
        <w:pStyle w:val="Style7"/>
        <w:framePr w:w="1770" w:h="230" w:wrap="none" w:vAnchor="text" w:hAnchor="margin" w:x="3595" w:y="1497"/>
        <w:widowControl w:val="0"/>
        <w:keepNext w:val="0"/>
        <w:keepLines w:val="0"/>
        <w:shd w:val="clear" w:color="auto" w:fill="auto"/>
        <w:bidi w:val="0"/>
        <w:jc w:val="left"/>
        <w:spacing w:before="0" w:after="0" w:line="230" w:lineRule="exact"/>
        <w:ind w:left="100" w:right="0" w:firstLine="0"/>
      </w:pPr>
      <w:r>
        <w:rPr>
          <w:rStyle w:val="CharStyle21"/>
          <w:spacing w:val="0"/>
        </w:rPr>
        <w:t>А.О. Казакова</w:t>
      </w:r>
    </w:p>
    <w:p>
      <w:pPr>
        <w:pStyle w:val="Style7"/>
        <w:framePr w:w="4064" w:h="2944" w:wrap="none" w:vAnchor="text" w:hAnchor="margin" w:x="6124" w:y="3"/>
        <w:tabs>
          <w:tab w:leader="none" w:pos="1848" w:val="center"/>
          <w:tab w:leader="none" w:pos="3528" w:val="right"/>
          <w:tab w:leader="none" w:pos="3960" w:val="right"/>
        </w:tabs>
        <w:widowControl w:val="0"/>
        <w:keepNext w:val="0"/>
        <w:keepLines w:val="0"/>
        <w:shd w:val="clear" w:color="auto" w:fill="auto"/>
        <w:bidi w:val="0"/>
        <w:jc w:val="left"/>
        <w:spacing w:before="0" w:after="0"/>
        <w:ind w:left="120" w:right="100" w:firstLine="380"/>
      </w:pPr>
      <w:r>
        <w:rPr>
          <w:rStyle w:val="CharStyle21"/>
          <w:spacing w:val="0"/>
        </w:rPr>
        <w:t>ведущий специалист-эксперт отдела</w:t>
        <w:tab/>
        <w:t>контроля</w:t>
        <w:tab/>
        <w:t>закупок</w:t>
        <w:tab/>
        <w:t>и</w:t>
      </w:r>
    </w:p>
    <w:p>
      <w:pPr>
        <w:pStyle w:val="Style7"/>
        <w:framePr w:w="4064" w:h="2944" w:wrap="none" w:vAnchor="text" w:hAnchor="margin" w:x="6124" w:y="3"/>
        <w:tabs>
          <w:tab w:leader="none" w:pos="1853" w:val="center"/>
        </w:tabs>
        <w:widowControl w:val="0"/>
        <w:keepNext w:val="0"/>
        <w:keepLines w:val="0"/>
        <w:shd w:val="clear" w:color="auto" w:fill="auto"/>
        <w:bidi w:val="0"/>
        <w:jc w:val="left"/>
        <w:spacing w:before="0" w:after="0"/>
        <w:ind w:left="120" w:right="1880" w:firstLine="0"/>
      </w:pPr>
      <w:r>
        <w:rPr>
          <w:rStyle w:val="CharStyle21"/>
          <w:spacing w:val="0"/>
        </w:rPr>
        <w:t>антимонопольного органов</w:t>
        <w:tab/>
        <w:t>власти</w:t>
      </w:r>
    </w:p>
    <w:p>
      <w:pPr>
        <w:pStyle w:val="Style7"/>
        <w:framePr w:w="4064" w:h="2944" w:wrap="none" w:vAnchor="text" w:hAnchor="margin" w:x="6124" w:y="3"/>
        <w:widowControl w:val="0"/>
        <w:keepNext w:val="0"/>
        <w:keepLines w:val="0"/>
        <w:shd w:val="clear" w:color="auto" w:fill="auto"/>
        <w:bidi w:val="0"/>
        <w:jc w:val="both"/>
        <w:spacing w:before="0" w:after="0"/>
        <w:ind w:left="120" w:right="0" w:firstLine="0"/>
      </w:pPr>
      <w:r>
        <w:rPr>
          <w:rStyle w:val="CharStyle21"/>
          <w:spacing w:val="0"/>
        </w:rPr>
        <w:t>У ФАС России;</w:t>
      </w:r>
    </w:p>
    <w:p>
      <w:pPr>
        <w:pStyle w:val="Style7"/>
        <w:framePr w:w="4064" w:h="2944" w:wrap="none" w:vAnchor="text" w:hAnchor="margin" w:x="6124" w:y="3"/>
        <w:tabs>
          <w:tab w:leader="none" w:pos="1853" w:val="center"/>
          <w:tab w:leader="none" w:pos="3533" w:val="right"/>
          <w:tab w:leader="none" w:pos="3965" w:val="right"/>
        </w:tabs>
        <w:widowControl w:val="0"/>
        <w:keepNext w:val="0"/>
        <w:keepLines w:val="0"/>
        <w:shd w:val="clear" w:color="auto" w:fill="auto"/>
        <w:bidi w:val="0"/>
        <w:jc w:val="left"/>
        <w:spacing w:before="0" w:after="0"/>
        <w:ind w:left="120" w:right="100" w:firstLine="380"/>
      </w:pPr>
      <w:r>
        <w:rPr>
          <w:rStyle w:val="CharStyle21"/>
          <w:spacing w:val="0"/>
        </w:rPr>
        <w:t>ведущий специалист-эксперт отдела</w:t>
        <w:tab/>
        <w:t>контроля</w:t>
        <w:tab/>
        <w:t>закупок</w:t>
        <w:tab/>
        <w:t>и</w:t>
      </w:r>
    </w:p>
    <w:p>
      <w:pPr>
        <w:pStyle w:val="Style7"/>
        <w:framePr w:w="4064" w:h="2944" w:wrap="none" w:vAnchor="text" w:hAnchor="margin" w:x="6124" w:y="3"/>
        <w:tabs>
          <w:tab w:leader="none" w:pos="1853" w:val="center"/>
          <w:tab w:leader="none" w:pos="3533" w:val="right"/>
        </w:tabs>
        <w:widowControl w:val="0"/>
        <w:keepNext w:val="0"/>
        <w:keepLines w:val="0"/>
        <w:shd w:val="clear" w:color="auto" w:fill="auto"/>
        <w:bidi w:val="0"/>
        <w:jc w:val="both"/>
        <w:spacing w:before="0" w:after="0"/>
        <w:ind w:left="120" w:right="100" w:firstLine="0"/>
      </w:pPr>
      <w:r>
        <w:rPr>
          <w:rStyle w:val="CharStyle21"/>
          <w:spacing w:val="0"/>
        </w:rPr>
        <w:t>антимонопольного контроля органов</w:t>
        <w:tab/>
        <w:t>власти</w:t>
        <w:tab/>
        <w:t>Смоленского</w:t>
      </w:r>
    </w:p>
    <w:p>
      <w:pPr>
        <w:pStyle w:val="Style7"/>
        <w:framePr w:w="4064" w:h="2944" w:wrap="none" w:vAnchor="text" w:hAnchor="margin" w:x="6124" w:y="3"/>
        <w:widowControl w:val="0"/>
        <w:keepNext w:val="0"/>
        <w:keepLines w:val="0"/>
        <w:shd w:val="clear" w:color="auto" w:fill="auto"/>
        <w:bidi w:val="0"/>
        <w:jc w:val="both"/>
        <w:spacing w:before="0" w:after="0"/>
        <w:ind w:left="120" w:right="0" w:firstLine="0"/>
      </w:pPr>
      <w:r>
        <w:rPr>
          <w:rStyle w:val="CharStyle21"/>
          <w:spacing w:val="0"/>
        </w:rPr>
        <w:t>У ФАС России;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00" w:lineRule="exact"/>
      </w:pPr>
    </w:p>
    <w:p>
      <w:pPr>
        <w:widowControl w:val="0"/>
        <w:rPr>
          <w:sz w:val="2"/>
          <w:szCs w:val="2"/>
        </w:rPr>
        <w:sectPr>
          <w:type w:val="continuous"/>
          <w:pgSz w:w="11906" w:h="16838"/>
          <w:pgMar w:top="567" w:left="709" w:right="709" w:bottom="567" w:header="0" w:footer="3" w:gutter="0"/>
          <w:rtlGutter w:val="0"/>
          <w:cols w:space="720"/>
          <w:noEndnote/>
          <w:docGrid w:linePitch="360"/>
        </w:sectPr>
      </w:pPr>
    </w:p>
    <w:p>
      <w:pPr>
        <w:pStyle w:val="Style7"/>
        <w:widowControl w:val="0"/>
        <w:keepNext w:val="0"/>
        <w:keepLines w:val="0"/>
        <w:shd w:val="clear" w:color="auto" w:fill="auto"/>
        <w:bidi w:val="0"/>
        <w:jc w:val="left"/>
        <w:spacing w:before="0" w:after="0" w:line="302" w:lineRule="exact"/>
        <w:ind w:left="20" w:right="0" w:firstLine="0"/>
      </w:pPr>
      <w:r>
        <w:rPr>
          <w:lang w:val="ru-RU" w:eastAsia="ru-RU" w:bidi="ru-RU"/>
          <w:sz w:val="24"/>
          <w:szCs w:val="24"/>
          <w:w w:val="100"/>
          <w:spacing w:val="0"/>
          <w:color w:val="000000"/>
          <w:position w:val="0"/>
        </w:rPr>
        <w:t>при участии представителей:</w:t>
      </w:r>
    </w:p>
    <w:p>
      <w:pPr>
        <w:pStyle w:val="Style7"/>
        <w:widowControl w:val="0"/>
        <w:keepNext w:val="0"/>
        <w:keepLines w:val="0"/>
        <w:shd w:val="clear" w:color="auto" w:fill="auto"/>
        <w:bidi w:val="0"/>
        <w:jc w:val="left"/>
        <w:spacing w:before="0" w:after="0" w:line="302" w:lineRule="exact"/>
        <w:ind w:left="20" w:right="260" w:firstLine="0"/>
      </w:pPr>
      <w:r>
        <w:rPr>
          <w:lang w:val="ru-RU" w:eastAsia="ru-RU" w:bidi="ru-RU"/>
          <w:sz w:val="24"/>
          <w:szCs w:val="24"/>
          <w:w w:val="100"/>
          <w:spacing w:val="0"/>
          <w:color w:val="000000"/>
          <w:position w:val="0"/>
        </w:rPr>
        <w:t>от государственного заказчика: Циммермана В.Б. представителя по доверенности от 10.11.2017,</w:t>
      </w:r>
    </w:p>
    <w:p>
      <w:pPr>
        <w:pStyle w:val="Style22"/>
        <w:widowControl w:val="0"/>
        <w:keepNext/>
        <w:keepLines/>
        <w:shd w:val="clear" w:color="auto" w:fill="auto"/>
        <w:bidi w:val="0"/>
        <w:spacing w:before="0" w:after="0" w:line="260" w:lineRule="exact"/>
        <w:ind w:left="0" w:right="260" w:firstLine="0"/>
        <w:sectPr>
          <w:type w:val="continuous"/>
          <w:pgSz w:w="11906" w:h="16838"/>
          <w:pgMar w:top="582" w:left="872" w:right="733" w:bottom="606" w:header="0" w:footer="3" w:gutter="0"/>
          <w:rtlGutter w:val="0"/>
          <w:cols w:space="720"/>
          <w:noEndnote/>
          <w:docGrid w:linePitch="360"/>
        </w:sectPr>
      </w:pPr>
      <w:bookmarkStart w:id="1" w:name="bookmark1"/>
      <w:r>
        <w:rPr>
          <w:lang w:val="ru-RU" w:eastAsia="ru-RU" w:bidi="ru-RU"/>
          <w:w w:val="100"/>
          <w:color w:val="000000"/>
          <w:position w:val="0"/>
        </w:rPr>
        <w:t>022029</w:t>
      </w:r>
      <w:bookmarkEnd w:id="1"/>
    </w:p>
    <w:p>
      <w:pPr>
        <w:pStyle w:val="Style7"/>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 xml:space="preserve">от уполномоченного органа: Егоровой </w:t>
      </w:r>
      <w:r>
        <w:rPr>
          <w:lang w:val="en-US" w:eastAsia="en-US" w:bidi="en-US"/>
          <w:sz w:val="24"/>
          <w:szCs w:val="24"/>
          <w:w w:val="100"/>
          <w:spacing w:val="0"/>
          <w:color w:val="000000"/>
          <w:position w:val="0"/>
        </w:rPr>
        <w:t xml:space="preserve">B.C. </w:t>
      </w:r>
      <w:r>
        <w:rPr>
          <w:lang w:val="ru-RU" w:eastAsia="ru-RU" w:bidi="ru-RU"/>
          <w:sz w:val="24"/>
          <w:szCs w:val="24"/>
          <w:w w:val="100"/>
          <w:spacing w:val="0"/>
          <w:color w:val="000000"/>
          <w:position w:val="0"/>
        </w:rPr>
        <w:t>представителя по доверенности от 25.08.2016, представители заявителя на заседание не явились, уведомлены надлежащим образом, поступило ходатайство о рассмотрении дела без их присутствия;</w:t>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целях осуществления возложенных на Комиссию Смоленского У ФАС России по контролю в сфере закупок (далее - Комиссия) (приказ Смоленского У ФАС России от</w:t>
      </w:r>
    </w:p>
    <w:p>
      <w:pPr>
        <w:pStyle w:val="Style7"/>
        <w:numPr>
          <w:ilvl w:val="0"/>
          <w:numId w:val="1"/>
        </w:numPr>
        <w:widowControl w:val="0"/>
        <w:keepNext w:val="0"/>
        <w:keepLines w:val="0"/>
        <w:shd w:val="clear" w:color="auto" w:fill="auto"/>
        <w:bidi w:val="0"/>
        <w:jc w:val="both"/>
        <w:spacing w:before="0" w:after="106"/>
        <w:ind w:left="20" w:right="20" w:firstLine="0"/>
      </w:pPr>
      <w:r>
        <w:rPr>
          <w:lang w:val="ru-RU" w:eastAsia="ru-RU" w:bidi="ru-RU"/>
          <w:sz w:val="24"/>
          <w:szCs w:val="24"/>
          <w:w w:val="100"/>
          <w:spacing w:val="0"/>
          <w:color w:val="000000"/>
          <w:position w:val="0"/>
        </w:rPr>
        <w:t xml:space="preserve"> № 107) функций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во исполнение положений ст.106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поступившую в адрес Смоленского У ФАС России жалобу ООО «Медтехсинтез» на действия аукционной комиссии государственного заказчика - ОГБУЗ «Смоленский областной противотуберкулезный клинический диспансер», уполномоченного органа - Главного управления Смоленской области по регулированию контрактной системы при проведении электронного аукциона на поставку изделий медицинского назначения для нужд ОГБУЗ «Смоленский областной противотуберкулезный клинический диспансер» (извещение № 0163200000317005199)</w:t>
      </w:r>
    </w:p>
    <w:p>
      <w:pPr>
        <w:pStyle w:val="Style7"/>
        <w:widowControl w:val="0"/>
        <w:keepNext w:val="0"/>
        <w:keepLines w:val="0"/>
        <w:shd w:val="clear" w:color="auto" w:fill="auto"/>
        <w:bidi w:val="0"/>
        <w:jc w:val="left"/>
        <w:spacing w:before="0" w:after="81" w:line="240" w:lineRule="exact"/>
        <w:ind w:left="4480" w:right="0" w:firstLine="0"/>
      </w:pPr>
      <w:r>
        <w:rPr>
          <w:lang w:val="ru-RU" w:eastAsia="ru-RU" w:bidi="ru-RU"/>
          <w:sz w:val="24"/>
          <w:szCs w:val="24"/>
          <w:w w:val="100"/>
          <w:spacing w:val="0"/>
          <w:color w:val="000000"/>
          <w:position w:val="0"/>
        </w:rPr>
        <w:t>УСТАНОВИЛА:</w:t>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жалобе ООО «Медтехсинтез» (далее - Заявитель, Общество) указано, что Общество подало заявку на участие в электронном аукционе с порядковым номером 3, которая содержала согласие на поставку товара, на условиях, предусмотренных документацией об электронном аукционе, а также все значения показателей товаров, соответствующие требованиям заказчика. Однако, аукционная комиссия отказала Заявителю в допуске к участию в электронном аукционе. Данное решение Заявитель считает неправомерным»</w:t>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связи с изложенным Общество просит выдать предписание об устранении выявленных нарушений законодательства.</w:t>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Представители ответчиков с доводами жалобы не согласились, в связи с чем просят признать жалобу необоснованной.</w:t>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ходе рассмотрения жалобы и проведенной в соответствии с ч.15 ст.99 Закона о контрактной системе внеплановой проверки Комиссией Смоленского У ФАС России по контролю в сфере закупок установлено следующее.</w:t>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Извещение о проведении электронного аукциона на поставку изделий медицинского назначения для нужд ОГБУЗ «Смоленский областной противотуберкулезный клинический диспансер» и аукционная документация размещены</w:t>
      </w:r>
    </w:p>
    <w:p>
      <w:pPr>
        <w:pStyle w:val="Style7"/>
        <w:numPr>
          <w:ilvl w:val="0"/>
          <w:numId w:val="3"/>
        </w:numPr>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 xml:space="preserve"> в единой информационной системе.</w:t>
      </w:r>
    </w:p>
    <w:p>
      <w:pPr>
        <w:pStyle w:val="Style7"/>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Начальная (максимальная) цена контракта - 243 300,00 руб.</w:t>
      </w:r>
    </w:p>
    <w:p>
      <w:pPr>
        <w:pStyle w:val="Style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соответствии с протоколом рассмотрения заявок от 24.10.2017 участнику, подавшему заявку с порядковым номером 3 (заявитель), отказано в допуске к участию в электронном аукционе. В качестве обоснования причины отказа заявителю в допуске к участию в электронном аукционе в протоколе указано: не представлены конкретные показатели предлагаемого ' к поставке товара, соответствующие требованиям, установленным в Приложении № 1 к Информационной карте, а именно: п.п. 3, 4 - в отношении нагрузки.</w:t>
      </w:r>
    </w:p>
    <w:p>
      <w:pPr>
        <w:pStyle w:val="Style7"/>
        <w:widowControl w:val="0"/>
        <w:keepNext w:val="0"/>
        <w:keepLines w:val="0"/>
        <w:shd w:val="clear" w:color="auto" w:fill="auto"/>
        <w:bidi w:val="0"/>
        <w:jc w:val="both"/>
        <w:spacing w:before="0" w:after="0"/>
        <w:ind w:left="40" w:right="20" w:firstLine="700"/>
      </w:pPr>
      <w:r>
        <w:rPr>
          <w:lang w:val="ru-RU" w:eastAsia="ru-RU" w:bidi="ru-RU"/>
          <w:sz w:val="24"/>
          <w:szCs w:val="24"/>
          <w:w w:val="100"/>
          <w:spacing w:val="0"/>
          <w:color w:val="000000"/>
          <w:position w:val="0"/>
        </w:rPr>
        <w:t>Согласно п. 17 Информационной карты аукционной документации первая часть заявки на участие в электронном аукционе должна содержать конкретные показатели, соответствующие значениям, установленным в Приложении № 1 к настоящей Информационной карте,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40" w:right="20" w:firstLine="700"/>
      </w:pPr>
      <w:r>
        <w:rPr>
          <w:lang w:val="ru-RU" w:eastAsia="ru-RU" w:bidi="ru-RU"/>
          <w:sz w:val="24"/>
          <w:szCs w:val="24"/>
          <w:w w:val="100"/>
          <w:spacing w:val="0"/>
          <w:color w:val="000000"/>
          <w:position w:val="0"/>
        </w:rPr>
        <w:t xml:space="preserve">В соответствии с п. 8.3.1 Инструкции участникам закупки аукционной документации участник электронного аукциона должен указать следующую информацию о товаре, предлагаемом </w:t>
      </w:r>
      <w:r>
        <w:rPr>
          <w:rStyle w:val="CharStyle24"/>
        </w:rPr>
        <w:t>jk</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поставке: конкретные показатели, соответствующие значениям, установленным документацией о таком аукционе,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40" w:right="20" w:firstLine="700"/>
      </w:pPr>
      <w:r>
        <w:rPr>
          <w:lang w:val="ru-RU" w:eastAsia="ru-RU" w:bidi="ru-RU"/>
          <w:sz w:val="24"/>
          <w:szCs w:val="24"/>
          <w:w w:val="100"/>
          <w:spacing w:val="0"/>
          <w:color w:val="000000"/>
          <w:position w:val="0"/>
        </w:rPr>
        <w:t>Комиссией Смоленского У ФАС России установлено, что в п. 3 и 4 Приложения № 1 к Информационной карте «Наименование и описание объекта закупки с указанием количества товара» аукционной документации содержится описание объекта закупки, в том числе, пробирки центрифужной градуированной и пробирки центрифужной неградуированной.</w:t>
      </w:r>
    </w:p>
    <w:p>
      <w:pPr>
        <w:pStyle w:val="Style7"/>
        <w:widowControl w:val="0"/>
        <w:keepNext w:val="0"/>
        <w:keepLines w:val="0"/>
        <w:shd w:val="clear" w:color="auto" w:fill="auto"/>
        <w:bidi w:val="0"/>
        <w:jc w:val="both"/>
        <w:spacing w:before="0" w:after="0"/>
        <w:ind w:left="40" w:right="0" w:firstLine="700"/>
      </w:pPr>
      <w:r>
        <w:rPr>
          <w:lang w:val="ru-RU" w:eastAsia="ru-RU" w:bidi="ru-RU"/>
          <w:sz w:val="24"/>
          <w:szCs w:val="24"/>
          <w:w w:val="100"/>
          <w:spacing w:val="0"/>
          <w:color w:val="000000"/>
          <w:position w:val="0"/>
        </w:rPr>
        <w:t>Пункт 3 пробирка центрифужная градуированная:</w:t>
      </w:r>
    </w:p>
    <w:p>
      <w:pPr>
        <w:pStyle w:val="Style7"/>
        <w:numPr>
          <w:ilvl w:val="0"/>
          <w:numId w:val="5"/>
        </w:numPr>
        <w:widowControl w:val="0"/>
        <w:keepNext w:val="0"/>
        <w:keepLines w:val="0"/>
        <w:shd w:val="clear" w:color="auto" w:fill="auto"/>
        <w:bidi w:val="0"/>
        <w:jc w:val="both"/>
        <w:spacing w:before="0" w:after="0"/>
        <w:ind w:left="40" w:right="0" w:firstLine="700"/>
      </w:pPr>
      <w:r>
        <w:rPr>
          <w:lang w:val="ru-RU" w:eastAsia="ru-RU" w:bidi="ru-RU"/>
          <w:sz w:val="24"/>
          <w:szCs w:val="24"/>
          <w:w w:val="100"/>
          <w:spacing w:val="0"/>
          <w:color w:val="000000"/>
          <w:position w:val="0"/>
        </w:rPr>
        <w:t xml:space="preserve"> Предназначена для центрифугирования в центрифугах типа ОПн-3 и аналогичных</w:t>
      </w:r>
    </w:p>
    <w:p>
      <w:pPr>
        <w:pStyle w:val="Style7"/>
        <w:widowControl w:val="0"/>
        <w:keepNext w:val="0"/>
        <w:keepLines w:val="0"/>
        <w:shd w:val="clear" w:color="auto" w:fill="auto"/>
        <w:bidi w:val="0"/>
        <w:jc w:val="left"/>
        <w:spacing w:before="0" w:after="0"/>
        <w:ind w:left="40" w:right="0" w:firstLine="0"/>
      </w:pPr>
      <w:r>
        <w:rPr>
          <w:lang w:val="ru-RU" w:eastAsia="ru-RU" w:bidi="ru-RU"/>
          <w:sz w:val="24"/>
          <w:szCs w:val="24"/>
          <w:w w:val="100"/>
          <w:spacing w:val="0"/>
          <w:color w:val="000000"/>
          <w:position w:val="0"/>
        </w:rPr>
        <w:t>им.</w:t>
      </w:r>
    </w:p>
    <w:p>
      <w:pPr>
        <w:pStyle w:val="Style7"/>
        <w:numPr>
          <w:ilvl w:val="0"/>
          <w:numId w:val="5"/>
        </w:numPr>
        <w:widowControl w:val="0"/>
        <w:keepNext w:val="0"/>
        <w:keepLines w:val="0"/>
        <w:shd w:val="clear" w:color="auto" w:fill="auto"/>
        <w:bidi w:val="0"/>
        <w:jc w:val="both"/>
        <w:spacing w:before="0" w:after="0"/>
        <w:ind w:left="40" w:right="0" w:firstLine="700"/>
      </w:pPr>
      <w:r>
        <w:rPr>
          <w:lang w:val="ru-RU" w:eastAsia="ru-RU" w:bidi="ru-RU"/>
          <w:sz w:val="24"/>
          <w:szCs w:val="24"/>
          <w:w w:val="100"/>
          <w:spacing w:val="0"/>
          <w:color w:val="000000"/>
          <w:position w:val="0"/>
        </w:rPr>
        <w:t xml:space="preserve"> Рассчитана на нагрузку до 1200 </w:t>
      </w:r>
      <w:r>
        <w:rPr>
          <w:lang w:val="en-US" w:eastAsia="en-US" w:bidi="en-US"/>
          <w:sz w:val="24"/>
          <w:szCs w:val="24"/>
          <w:w w:val="100"/>
          <w:spacing w:val="0"/>
          <w:color w:val="000000"/>
          <w:position w:val="0"/>
        </w:rPr>
        <w:t>g.</w:t>
      </w:r>
    </w:p>
    <w:p>
      <w:pPr>
        <w:pStyle w:val="Style7"/>
        <w:numPr>
          <w:ilvl w:val="0"/>
          <w:numId w:val="5"/>
        </w:numPr>
        <w:widowControl w:val="0"/>
        <w:keepNext w:val="0"/>
        <w:keepLines w:val="0"/>
        <w:shd w:val="clear" w:color="auto" w:fill="auto"/>
        <w:bidi w:val="0"/>
        <w:jc w:val="both"/>
        <w:spacing w:before="0" w:after="0"/>
        <w:ind w:left="40" w:right="0" w:firstLine="700"/>
      </w:pPr>
      <w:r>
        <w:rPr>
          <w:lang w:val="ru-RU" w:eastAsia="ru-RU" w:bidi="ru-RU"/>
          <w:sz w:val="24"/>
          <w:szCs w:val="24"/>
          <w:w w:val="100"/>
          <w:spacing w:val="0"/>
          <w:color w:val="000000"/>
          <w:position w:val="0"/>
        </w:rPr>
        <w:t xml:space="preserve"> Изготовлена из стекла марки НС-1 в соответствии с действующим ГОСТ.</w:t>
      </w:r>
    </w:p>
    <w:p>
      <w:pPr>
        <w:pStyle w:val="Style7"/>
        <w:numPr>
          <w:ilvl w:val="0"/>
          <w:numId w:val="5"/>
        </w:numPr>
        <w:widowControl w:val="0"/>
        <w:keepNext w:val="0"/>
        <w:keepLines w:val="0"/>
        <w:shd w:val="clear" w:color="auto" w:fill="auto"/>
        <w:bidi w:val="0"/>
        <w:jc w:val="both"/>
        <w:spacing w:before="0" w:after="0"/>
        <w:ind w:left="40" w:right="0" w:firstLine="700"/>
      </w:pPr>
      <w:r>
        <w:rPr>
          <w:lang w:val="ru-RU" w:eastAsia="ru-RU" w:bidi="ru-RU"/>
          <w:sz w:val="24"/>
          <w:szCs w:val="24"/>
          <w:w w:val="100"/>
          <w:spacing w:val="0"/>
          <w:color w:val="000000"/>
          <w:position w:val="0"/>
        </w:rPr>
        <w:t xml:space="preserve"> Объем не менее 10 мл.</w:t>
      </w:r>
    </w:p>
    <w:p>
      <w:pPr>
        <w:pStyle w:val="Style7"/>
        <w:numPr>
          <w:ilvl w:val="0"/>
          <w:numId w:val="5"/>
        </w:numPr>
        <w:widowControl w:val="0"/>
        <w:keepNext w:val="0"/>
        <w:keepLines w:val="0"/>
        <w:shd w:val="clear" w:color="auto" w:fill="auto"/>
        <w:bidi w:val="0"/>
        <w:jc w:val="both"/>
        <w:spacing w:before="0" w:after="0"/>
        <w:ind w:left="40" w:right="0" w:firstLine="700"/>
      </w:pPr>
      <w:r>
        <w:rPr>
          <w:lang w:val="ru-RU" w:eastAsia="ru-RU" w:bidi="ru-RU"/>
          <w:sz w:val="24"/>
          <w:szCs w:val="24"/>
          <w:w w:val="100"/>
          <w:spacing w:val="0"/>
          <w:color w:val="000000"/>
          <w:position w:val="0"/>
        </w:rPr>
        <w:t xml:space="preserve"> Цена деления не более 0,2 мл.</w:t>
      </w:r>
    </w:p>
    <w:p>
      <w:pPr>
        <w:pStyle w:val="Style7"/>
        <w:numPr>
          <w:ilvl w:val="0"/>
          <w:numId w:val="5"/>
        </w:numPr>
        <w:widowControl w:val="0"/>
        <w:keepNext w:val="0"/>
        <w:keepLines w:val="0"/>
        <w:shd w:val="clear" w:color="auto" w:fill="auto"/>
        <w:bidi w:val="0"/>
        <w:jc w:val="both"/>
        <w:spacing w:before="0" w:after="0"/>
        <w:ind w:left="40" w:right="0" w:firstLine="700"/>
      </w:pPr>
      <w:r>
        <w:rPr>
          <w:lang w:val="ru-RU" w:eastAsia="ru-RU" w:bidi="ru-RU"/>
          <w:sz w:val="24"/>
          <w:szCs w:val="24"/>
          <w:w w:val="100"/>
          <w:spacing w:val="0"/>
          <w:color w:val="000000"/>
          <w:position w:val="0"/>
        </w:rPr>
        <w:t xml:space="preserve"> Допустимая погрешность ±0,2 мл.</w:t>
      </w:r>
    </w:p>
    <w:p>
      <w:pPr>
        <w:pStyle w:val="Style7"/>
        <w:numPr>
          <w:ilvl w:val="0"/>
          <w:numId w:val="5"/>
        </w:numPr>
        <w:widowControl w:val="0"/>
        <w:keepNext w:val="0"/>
        <w:keepLines w:val="0"/>
        <w:shd w:val="clear" w:color="auto" w:fill="auto"/>
        <w:bidi w:val="0"/>
        <w:jc w:val="both"/>
        <w:spacing w:before="0" w:after="0"/>
        <w:ind w:left="40" w:right="0" w:firstLine="700"/>
      </w:pPr>
      <w:r>
        <w:rPr>
          <w:lang w:val="ru-RU" w:eastAsia="ru-RU" w:bidi="ru-RU"/>
          <w:sz w:val="24"/>
          <w:szCs w:val="24"/>
          <w:w w:val="100"/>
          <w:spacing w:val="0"/>
          <w:color w:val="000000"/>
          <w:position w:val="0"/>
        </w:rPr>
        <w:t xml:space="preserve"> Наружный диаметр от 16,5 до 17,5 мм.</w:t>
      </w:r>
    </w:p>
    <w:p>
      <w:pPr>
        <w:pStyle w:val="Style7"/>
        <w:numPr>
          <w:ilvl w:val="0"/>
          <w:numId w:val="5"/>
        </w:numPr>
        <w:widowControl w:val="0"/>
        <w:keepNext w:val="0"/>
        <w:keepLines w:val="0"/>
        <w:shd w:val="clear" w:color="auto" w:fill="auto"/>
        <w:bidi w:val="0"/>
        <w:jc w:val="both"/>
        <w:spacing w:before="0" w:after="0"/>
        <w:ind w:left="40" w:right="0" w:firstLine="700"/>
      </w:pPr>
      <w:r>
        <w:rPr>
          <w:lang w:val="ru-RU" w:eastAsia="ru-RU" w:bidi="ru-RU"/>
          <w:sz w:val="24"/>
          <w:szCs w:val="24"/>
          <w:w w:val="100"/>
          <w:spacing w:val="0"/>
          <w:color w:val="000000"/>
          <w:position w:val="0"/>
        </w:rPr>
        <w:t xml:space="preserve"> Высота от 105 до 110 мм.</w:t>
      </w:r>
    </w:p>
    <w:p>
      <w:pPr>
        <w:pStyle w:val="Style7"/>
        <w:widowControl w:val="0"/>
        <w:keepNext w:val="0"/>
        <w:keepLines w:val="0"/>
        <w:shd w:val="clear" w:color="auto" w:fill="auto"/>
        <w:bidi w:val="0"/>
        <w:jc w:val="both"/>
        <w:spacing w:before="0" w:after="0"/>
        <w:ind w:left="40" w:right="0" w:firstLine="700"/>
      </w:pPr>
      <w:r>
        <w:rPr>
          <w:lang w:val="ru-RU" w:eastAsia="ru-RU" w:bidi="ru-RU"/>
          <w:sz w:val="24"/>
          <w:szCs w:val="24"/>
          <w:w w:val="100"/>
          <w:spacing w:val="0"/>
          <w:color w:val="000000"/>
          <w:position w:val="0"/>
        </w:rPr>
        <w:t>Пункт 4 пробирка центрифужная неградуированная:</w:t>
      </w:r>
    </w:p>
    <w:p>
      <w:pPr>
        <w:pStyle w:val="Style7"/>
        <w:numPr>
          <w:ilvl w:val="0"/>
          <w:numId w:val="5"/>
        </w:numPr>
        <w:widowControl w:val="0"/>
        <w:keepNext w:val="0"/>
        <w:keepLines w:val="0"/>
        <w:shd w:val="clear" w:color="auto" w:fill="auto"/>
        <w:bidi w:val="0"/>
        <w:jc w:val="both"/>
        <w:spacing w:before="0" w:after="0"/>
        <w:ind w:left="40" w:right="0" w:firstLine="700"/>
      </w:pPr>
      <w:r>
        <w:rPr>
          <w:lang w:val="ru-RU" w:eastAsia="ru-RU" w:bidi="ru-RU"/>
          <w:sz w:val="24"/>
          <w:szCs w:val="24"/>
          <w:w w:val="100"/>
          <w:spacing w:val="0"/>
          <w:color w:val="000000"/>
          <w:position w:val="0"/>
        </w:rPr>
        <w:t xml:space="preserve"> Предназначена для центрифугирования в центрифугах типа ОПн-3 и аналогичных</w:t>
      </w:r>
    </w:p>
    <w:p>
      <w:pPr>
        <w:pStyle w:val="Style7"/>
        <w:widowControl w:val="0"/>
        <w:keepNext w:val="0"/>
        <w:keepLines w:val="0"/>
        <w:shd w:val="clear" w:color="auto" w:fill="auto"/>
        <w:bidi w:val="0"/>
        <w:jc w:val="left"/>
        <w:spacing w:before="0" w:after="0"/>
        <w:ind w:left="40" w:right="0" w:firstLine="0"/>
      </w:pPr>
      <w:r>
        <w:rPr>
          <w:lang w:val="ru-RU" w:eastAsia="ru-RU" w:bidi="ru-RU"/>
          <w:sz w:val="24"/>
          <w:szCs w:val="24"/>
          <w:w w:val="100"/>
          <w:spacing w:val="0"/>
          <w:color w:val="000000"/>
          <w:position w:val="0"/>
        </w:rPr>
        <w:t>им.</w:t>
      </w:r>
    </w:p>
    <w:p>
      <w:pPr>
        <w:pStyle w:val="Style7"/>
        <w:numPr>
          <w:ilvl w:val="0"/>
          <w:numId w:val="5"/>
        </w:numPr>
        <w:widowControl w:val="0"/>
        <w:keepNext w:val="0"/>
        <w:keepLines w:val="0"/>
        <w:shd w:val="clear" w:color="auto" w:fill="auto"/>
        <w:bidi w:val="0"/>
        <w:jc w:val="both"/>
        <w:spacing w:before="0" w:after="0"/>
        <w:ind w:left="40" w:right="0" w:firstLine="700"/>
      </w:pPr>
      <w:r>
        <w:rPr>
          <w:lang w:val="ru-RU" w:eastAsia="ru-RU" w:bidi="ru-RU"/>
          <w:sz w:val="24"/>
          <w:szCs w:val="24"/>
          <w:w w:val="100"/>
          <w:spacing w:val="0"/>
          <w:color w:val="000000"/>
          <w:position w:val="0"/>
        </w:rPr>
        <w:t xml:space="preserve"> Рассчитана на нагрузку до 1200 </w:t>
      </w:r>
      <w:r>
        <w:rPr>
          <w:lang w:val="en-US" w:eastAsia="en-US" w:bidi="en-US"/>
          <w:sz w:val="24"/>
          <w:szCs w:val="24"/>
          <w:w w:val="100"/>
          <w:spacing w:val="0"/>
          <w:color w:val="000000"/>
          <w:position w:val="0"/>
        </w:rPr>
        <w:t>g.</w:t>
      </w:r>
    </w:p>
    <w:p>
      <w:pPr>
        <w:pStyle w:val="Style7"/>
        <w:numPr>
          <w:ilvl w:val="0"/>
          <w:numId w:val="5"/>
        </w:numPr>
        <w:widowControl w:val="0"/>
        <w:keepNext w:val="0"/>
        <w:keepLines w:val="0"/>
        <w:shd w:val="clear" w:color="auto" w:fill="auto"/>
        <w:bidi w:val="0"/>
        <w:jc w:val="both"/>
        <w:spacing w:before="0" w:after="0"/>
        <w:ind w:left="40" w:right="0" w:firstLine="700"/>
      </w:pPr>
      <w:r>
        <w:rPr>
          <w:lang w:val="ru-RU" w:eastAsia="ru-RU" w:bidi="ru-RU"/>
          <w:sz w:val="24"/>
          <w:szCs w:val="24"/>
          <w:w w:val="100"/>
          <w:spacing w:val="0"/>
          <w:color w:val="000000"/>
          <w:position w:val="0"/>
        </w:rPr>
        <w:t xml:space="preserve"> Изготовлена из стекла марки НС-1 в соответствии с действующим ГОСТ.</w:t>
      </w:r>
    </w:p>
    <w:p>
      <w:pPr>
        <w:pStyle w:val="Style7"/>
        <w:numPr>
          <w:ilvl w:val="0"/>
          <w:numId w:val="5"/>
        </w:numPr>
        <w:widowControl w:val="0"/>
        <w:keepNext w:val="0"/>
        <w:keepLines w:val="0"/>
        <w:shd w:val="clear" w:color="auto" w:fill="auto"/>
        <w:bidi w:val="0"/>
        <w:jc w:val="both"/>
        <w:spacing w:before="0" w:after="0"/>
        <w:ind w:left="40" w:right="0" w:firstLine="700"/>
      </w:pPr>
      <w:r>
        <w:rPr>
          <w:lang w:val="ru-RU" w:eastAsia="ru-RU" w:bidi="ru-RU"/>
          <w:sz w:val="24"/>
          <w:szCs w:val="24"/>
          <w:w w:val="100"/>
          <w:spacing w:val="0"/>
          <w:color w:val="000000"/>
          <w:position w:val="0"/>
        </w:rPr>
        <w:t xml:space="preserve"> Объем не менее 10 мл.</w:t>
      </w:r>
    </w:p>
    <w:p>
      <w:pPr>
        <w:pStyle w:val="Style7"/>
        <w:numPr>
          <w:ilvl w:val="0"/>
          <w:numId w:val="5"/>
        </w:numPr>
        <w:widowControl w:val="0"/>
        <w:keepNext w:val="0"/>
        <w:keepLines w:val="0"/>
        <w:shd w:val="clear" w:color="auto" w:fill="auto"/>
        <w:bidi w:val="0"/>
        <w:jc w:val="both"/>
        <w:spacing w:before="0" w:after="0"/>
        <w:ind w:left="40" w:right="0" w:firstLine="700"/>
      </w:pPr>
      <w:r>
        <w:rPr>
          <w:lang w:val="ru-RU" w:eastAsia="ru-RU" w:bidi="ru-RU"/>
          <w:sz w:val="24"/>
          <w:szCs w:val="24"/>
          <w:w w:val="100"/>
          <w:spacing w:val="0"/>
          <w:color w:val="000000"/>
          <w:position w:val="0"/>
        </w:rPr>
        <w:t xml:space="preserve"> Допустимая погрешность ±0,2 мл.</w:t>
      </w:r>
    </w:p>
    <w:p>
      <w:pPr>
        <w:pStyle w:val="Style7"/>
        <w:numPr>
          <w:ilvl w:val="0"/>
          <w:numId w:val="5"/>
        </w:numPr>
        <w:widowControl w:val="0"/>
        <w:keepNext w:val="0"/>
        <w:keepLines w:val="0"/>
        <w:shd w:val="clear" w:color="auto" w:fill="auto"/>
        <w:bidi w:val="0"/>
        <w:jc w:val="both"/>
        <w:spacing w:before="0" w:after="0"/>
        <w:ind w:left="40" w:right="0" w:firstLine="700"/>
      </w:pPr>
      <w:r>
        <w:rPr>
          <w:lang w:val="ru-RU" w:eastAsia="ru-RU" w:bidi="ru-RU"/>
          <w:sz w:val="24"/>
          <w:szCs w:val="24"/>
          <w:w w:val="100"/>
          <w:spacing w:val="0"/>
          <w:color w:val="000000"/>
          <w:position w:val="0"/>
        </w:rPr>
        <w:t xml:space="preserve"> Наружный диаметр от 16,5 до 17,5 мм.</w:t>
      </w:r>
    </w:p>
    <w:p>
      <w:pPr>
        <w:pStyle w:val="Style7"/>
        <w:numPr>
          <w:ilvl w:val="0"/>
          <w:numId w:val="5"/>
        </w:numPr>
        <w:widowControl w:val="0"/>
        <w:keepNext w:val="0"/>
        <w:keepLines w:val="0"/>
        <w:shd w:val="clear" w:color="auto" w:fill="auto"/>
        <w:bidi w:val="0"/>
        <w:jc w:val="both"/>
        <w:spacing w:before="0" w:after="0"/>
        <w:ind w:left="40" w:right="0" w:firstLine="700"/>
      </w:pPr>
      <w:r>
        <w:rPr>
          <w:lang w:val="ru-RU" w:eastAsia="ru-RU" w:bidi="ru-RU"/>
          <w:sz w:val="24"/>
          <w:szCs w:val="24"/>
          <w:w w:val="100"/>
          <w:spacing w:val="0"/>
          <w:color w:val="000000"/>
          <w:position w:val="0"/>
        </w:rPr>
        <w:t xml:space="preserve"> Высота от 105 до 110 мм.</w:t>
      </w:r>
    </w:p>
    <w:p>
      <w:pPr>
        <w:pStyle w:val="Style7"/>
        <w:widowControl w:val="0"/>
        <w:keepNext w:val="0"/>
        <w:keepLines w:val="0"/>
        <w:shd w:val="clear" w:color="auto" w:fill="auto"/>
        <w:bidi w:val="0"/>
        <w:jc w:val="both"/>
        <w:spacing w:before="0" w:after="0"/>
        <w:ind w:left="40" w:right="20" w:firstLine="700"/>
      </w:pPr>
      <w:r>
        <w:rPr>
          <w:lang w:val="ru-RU" w:eastAsia="ru-RU" w:bidi="ru-RU"/>
          <w:sz w:val="24"/>
          <w:szCs w:val="24"/>
          <w:w w:val="100"/>
          <w:spacing w:val="0"/>
          <w:color w:val="000000"/>
          <w:position w:val="0"/>
        </w:rPr>
        <w:t>В соответствии с требованиями ст. 33 Закона о контрактной системе, заказчиком установлены минимальные и максимальные значения показателей, позволяющих определить соответствие закупаемых пробирок установленным заказчиком требованиям, а также значения показателей, которые не могут изменяться.</w:t>
      </w:r>
    </w:p>
    <w:p>
      <w:pPr>
        <w:pStyle w:val="Style7"/>
        <w:widowControl w:val="0"/>
        <w:keepNext w:val="0"/>
        <w:keepLines w:val="0"/>
        <w:shd w:val="clear" w:color="auto" w:fill="auto"/>
        <w:bidi w:val="0"/>
        <w:jc w:val="both"/>
        <w:spacing w:before="0" w:after="0"/>
        <w:ind w:left="40" w:right="20" w:firstLine="700"/>
      </w:pPr>
      <w:r>
        <w:rPr>
          <w:lang w:val="ru-RU" w:eastAsia="ru-RU" w:bidi="ru-RU"/>
          <w:sz w:val="24"/>
          <w:szCs w:val="24"/>
          <w:w w:val="100"/>
          <w:spacing w:val="0"/>
          <w:color w:val="000000"/>
          <w:position w:val="0"/>
        </w:rPr>
        <w:t xml:space="preserve">Так, заказчиком предъявлено требование о том, что пробирки должны быть рассчитаны на нагрузку до 1200 </w:t>
      </w:r>
      <w:r>
        <w:rPr>
          <w:lang w:val="en-US" w:eastAsia="en-US" w:bidi="en-US"/>
          <w:sz w:val="24"/>
          <w:szCs w:val="24"/>
          <w:w w:val="100"/>
          <w:spacing w:val="0"/>
          <w:color w:val="000000"/>
          <w:position w:val="0"/>
        </w:rPr>
        <w:t>g.</w:t>
      </w:r>
    </w:p>
    <w:p>
      <w:pPr>
        <w:pStyle w:val="Style7"/>
        <w:widowControl w:val="0"/>
        <w:keepNext w:val="0"/>
        <w:keepLines w:val="0"/>
        <w:shd w:val="clear" w:color="auto" w:fill="auto"/>
        <w:bidi w:val="0"/>
        <w:jc w:val="both"/>
        <w:spacing w:before="0" w:after="0"/>
        <w:ind w:left="40" w:right="20" w:firstLine="700"/>
      </w:pPr>
      <w:r>
        <w:rPr>
          <w:lang w:val="ru-RU" w:eastAsia="ru-RU" w:bidi="ru-RU"/>
          <w:sz w:val="24"/>
          <w:szCs w:val="24"/>
          <w:w w:val="100"/>
          <w:spacing w:val="0"/>
          <w:color w:val="000000"/>
          <w:position w:val="0"/>
        </w:rPr>
        <w:t>Как следует из вышеприведенных требований к содержанию первой части заявки, указание конкретного показателя нагрузки является обязательным в первой части заявки.</w:t>
      </w:r>
      <w:r>
        <w:br w:type="page"/>
      </w:r>
    </w:p>
    <w:p>
      <w:pPr>
        <w:pStyle w:val="Style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В ходе анализа заявки заявителя Комиссией Смоленского У ФАС России установлено, что в заявке Заявителя представлена информация (рассчитаны на нагрузку до 1200 </w:t>
      </w:r>
      <w:r>
        <w:rPr>
          <w:lang w:val="en-US" w:eastAsia="en-US" w:bidi="en-US"/>
          <w:sz w:val="24"/>
          <w:szCs w:val="24"/>
          <w:w w:val="100"/>
          <w:spacing w:val="0"/>
          <w:color w:val="000000"/>
          <w:position w:val="0"/>
        </w:rPr>
        <w:t xml:space="preserve">g), </w:t>
      </w:r>
      <w:r>
        <w:rPr>
          <w:lang w:val="ru-RU" w:eastAsia="ru-RU" w:bidi="ru-RU"/>
          <w:sz w:val="24"/>
          <w:szCs w:val="24"/>
          <w:w w:val="100"/>
          <w:spacing w:val="0"/>
          <w:color w:val="000000"/>
          <w:position w:val="0"/>
        </w:rPr>
        <w:t>не соответствующая требованиям, установленным в документации.</w:t>
      </w:r>
    </w:p>
    <w:p>
      <w:pPr>
        <w:pStyle w:val="Style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Участник закупки не указал конкретную величину нагрузки на которую расчитаны пробирки.</w:t>
      </w:r>
    </w:p>
    <w:p>
      <w:pPr>
        <w:pStyle w:val="Style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Частью 1 ст. 67 Закона о контрактной системе установлено, что аукционная комиссия проверяет первые части заявок на участие в электронном аукционе, содержащие информацию, предусмотренную ч. 3 ст.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Согласно ч. 4 ст. 67 Закона о контрактной системе участник электронного аукциона не допускается к участию в нем в случае:</w:t>
      </w:r>
    </w:p>
    <w:p>
      <w:pPr>
        <w:pStyle w:val="Style7"/>
        <w:numPr>
          <w:ilvl w:val="0"/>
          <w:numId w:val="7"/>
        </w:numPr>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7"/>
        <w:numPr>
          <w:ilvl w:val="0"/>
          <w:numId w:val="7"/>
        </w:numPr>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7"/>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связи с вышеизложенным, действия аукционной комиссии при отказе заявителю в-допуске к участию в электронном аукционе соответствуют требованиям ст. 67 Закона о контрактной системе.</w:t>
      </w:r>
    </w:p>
    <w:p>
      <w:pPr>
        <w:pStyle w:val="Style7"/>
        <w:widowControl w:val="0"/>
        <w:keepNext w:val="0"/>
        <w:keepLines w:val="0"/>
        <w:shd w:val="clear" w:color="auto" w:fill="auto"/>
        <w:bidi w:val="0"/>
        <w:jc w:val="both"/>
        <w:spacing w:before="0" w:after="226"/>
        <w:ind w:left="20" w:right="20" w:firstLine="720"/>
      </w:pPr>
      <w:r>
        <w:rPr>
          <w:lang w:val="ru-RU" w:eastAsia="ru-RU" w:bidi="ru-RU"/>
          <w:sz w:val="24"/>
          <w:szCs w:val="24"/>
          <w:w w:val="100"/>
          <w:spacing w:val="0"/>
          <w:color w:val="000000"/>
          <w:position w:val="0"/>
        </w:rPr>
        <w:t>Изучив все материалы по жалобе, руководствуясь ст. 106 Закона о контрактной системе Комиссия Смоленского У ФАС России по контролю в сфере закупок</w:t>
      </w:r>
    </w:p>
    <w:p>
      <w:pPr>
        <w:pStyle w:val="Style7"/>
        <w:widowControl w:val="0"/>
        <w:keepNext w:val="0"/>
        <w:keepLines w:val="0"/>
        <w:shd w:val="clear" w:color="auto" w:fill="auto"/>
        <w:bidi w:val="0"/>
        <w:jc w:val="center"/>
        <w:spacing w:before="0" w:after="76" w:line="240" w:lineRule="exact"/>
        <w:ind w:left="0" w:right="0" w:firstLine="0"/>
      </w:pPr>
      <w:r>
        <w:rPr>
          <w:lang w:val="ru-RU" w:eastAsia="ru-RU" w:bidi="ru-RU"/>
          <w:sz w:val="24"/>
          <w:szCs w:val="24"/>
          <w:w w:val="100"/>
          <w:spacing w:val="0"/>
          <w:color w:val="000000"/>
          <w:position w:val="0"/>
        </w:rPr>
        <w:t>РЕШИЛА:</w:t>
      </w:r>
    </w:p>
    <w:p>
      <w:pPr>
        <w:pStyle w:val="Style7"/>
        <w:widowControl w:val="0"/>
        <w:keepNext w:val="0"/>
        <w:keepLines w:val="0"/>
        <w:shd w:val="clear" w:color="auto" w:fill="auto"/>
        <w:bidi w:val="0"/>
        <w:jc w:val="both"/>
        <w:spacing w:before="0" w:after="360"/>
        <w:ind w:left="20" w:right="20" w:firstLine="720"/>
      </w:pPr>
      <w:r>
        <w:rPr>
          <w:lang w:val="ru-RU" w:eastAsia="ru-RU" w:bidi="ru-RU"/>
          <w:sz w:val="24"/>
          <w:szCs w:val="24"/>
          <w:w w:val="100"/>
          <w:spacing w:val="0"/>
          <w:color w:val="000000"/>
          <w:position w:val="0"/>
        </w:rPr>
        <w:t>Признать жалобу ООО «Медтехсинтез» на действия аукционной комиссии государственного заказчика - ОГБУЗ «Смоленский областной противотуберкулезный клинический диспансер», уполномоченного органа - Главного управления Смоленской области по регулированию контрактной системы при проведении электронного аукциона на поставку изделий медицинского назначения для нужд ОГБУЗ «Смоленский областной противотуберкулезный клинический диспансер» (извещение № 0163200000317005199) необоснованной.</w:t>
      </w:r>
    </w:p>
    <w:p>
      <w:pPr>
        <w:pStyle w:val="Style25"/>
        <w:widowControl w:val="0"/>
        <w:keepNext w:val="0"/>
        <w:keepLines w:val="0"/>
        <w:shd w:val="clear" w:color="auto" w:fill="auto"/>
        <w:bidi w:val="0"/>
        <w:spacing w:before="0" w:after="0"/>
        <w:ind w:left="20" w:right="20"/>
        <w:sectPr>
          <w:pgSz w:w="11906" w:h="16838"/>
          <w:pgMar w:top="1664" w:left="913" w:right="889" w:bottom="1078" w:header="0" w:footer="3" w:gutter="0"/>
          <w:rtlGutter w:val="0"/>
          <w:cols w:space="720"/>
          <w:noEndnote/>
          <w:docGrid w:linePitch="360"/>
        </w:sectPr>
      </w:pPr>
      <w:r>
        <w:rPr>
          <w:lang w:val="ru-RU" w:eastAsia="ru-RU" w:bidi="ru-RU"/>
          <w:sz w:val="24"/>
          <w:szCs w:val="24"/>
          <w:w w:val="100"/>
          <w:spacing w:val="0"/>
          <w:color w:val="000000"/>
          <w:position w:val="0"/>
        </w:rPr>
        <w:t>В соответствии с ч. 9 ст.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240" w:lineRule="exact"/>
        <w:rPr>
          <w:sz w:val="19"/>
          <w:szCs w:val="19"/>
        </w:rPr>
      </w:pPr>
    </w:p>
    <w:p>
      <w:pPr>
        <w:widowControl w:val="0"/>
        <w:spacing w:line="240" w:lineRule="exact"/>
        <w:rPr>
          <w:sz w:val="19"/>
          <w:szCs w:val="19"/>
        </w:rPr>
      </w:pPr>
    </w:p>
    <w:p>
      <w:pPr>
        <w:widowControl w:val="0"/>
        <w:spacing w:before="26" w:after="2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230" w:wrap="around" w:vAnchor="text" w:hAnchor="margin" w:x="-7926" w:y="911"/>
        <w:widowControl w:val="0"/>
        <w:keepNext w:val="0"/>
        <w:keepLines w:val="0"/>
        <w:shd w:val="clear" w:color="auto" w:fill="auto"/>
        <w:bidi w:val="0"/>
        <w:jc w:val="left"/>
        <w:spacing w:before="0" w:after="0" w:line="230" w:lineRule="exact"/>
        <w:ind w:left="0" w:right="0" w:firstLine="0"/>
      </w:pPr>
      <w:r>
        <w:rPr>
          <w:rStyle w:val="CharStyle21"/>
          <w:spacing w:val="0"/>
        </w:rPr>
        <w:t>Члены Комиссии</w:t>
      </w:r>
    </w:p>
    <w:p>
      <w:pPr>
        <w:pStyle w:val="Style7"/>
        <w:widowControl w:val="0"/>
        <w:keepNext w:val="0"/>
        <w:keepLines w:val="0"/>
        <w:shd w:val="clear" w:color="auto" w:fill="auto"/>
        <w:bidi w:val="0"/>
        <w:jc w:val="left"/>
        <w:spacing w:before="0" w:after="598" w:line="240" w:lineRule="exact"/>
        <w:ind w:left="20" w:right="0" w:firstLine="0"/>
      </w:pPr>
      <w:r>
        <w:rPr>
          <w:lang w:val="ru-RU" w:eastAsia="ru-RU" w:bidi="ru-RU"/>
          <w:sz w:val="24"/>
          <w:szCs w:val="24"/>
          <w:w w:val="100"/>
          <w:spacing w:val="0"/>
          <w:color w:val="000000"/>
          <w:position w:val="0"/>
        </w:rPr>
        <w:t>Н.А. Акжитова</w:t>
      </w:r>
    </w:p>
    <w:p>
      <w:pPr>
        <w:pStyle w:val="Style7"/>
        <w:widowControl w:val="0"/>
        <w:keepNext w:val="0"/>
        <w:keepLines w:val="0"/>
        <w:shd w:val="clear" w:color="auto" w:fill="auto"/>
        <w:bidi w:val="0"/>
        <w:jc w:val="left"/>
        <w:spacing w:before="0" w:after="602" w:line="240" w:lineRule="exact"/>
        <w:ind w:left="20" w:right="0" w:firstLine="0"/>
      </w:pPr>
      <w:r>
        <w:rPr>
          <w:lang w:val="ru-RU" w:eastAsia="ru-RU" w:bidi="ru-RU"/>
          <w:sz w:val="24"/>
          <w:szCs w:val="24"/>
          <w:w w:val="100"/>
          <w:spacing w:val="0"/>
          <w:color w:val="000000"/>
          <w:position w:val="0"/>
        </w:rPr>
        <w:t>А.Е. Лукашев</w:t>
      </w:r>
    </w:p>
    <w:p>
      <w:pPr>
        <w:pStyle w:val="Style7"/>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А.О. Казакова</w:t>
      </w:r>
    </w:p>
    <w:sectPr>
      <w:type w:val="continuous"/>
      <w:pgSz w:w="11906" w:h="16838"/>
      <w:pgMar w:top="1430" w:left="8842" w:right="1004" w:bottom="150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29.08.%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1.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rFonts w:ascii="Times New Roman" w:eastAsia="Times New Roman" w:hAnsi="Times New Roman" w:cs="Times New Roman"/>
    </w:rPr>
  </w:style>
  <w:style w:type="character" w:customStyle="1" w:styleId="CharStyle10">
    <w:name w:val="Основной текст (4)_"/>
    <w:basedOn w:val="DefaultParagraphFont"/>
    <w:link w:val="Style9"/>
    <w:rPr>
      <w:b w:val="0"/>
      <w:bCs w:val="0"/>
      <w:i w:val="0"/>
      <w:iCs w:val="0"/>
      <w:u w:val="none"/>
      <w:strike w:val="0"/>
      <w:smallCaps w:val="0"/>
      <w:sz w:val="18"/>
      <w:szCs w:val="18"/>
      <w:rFonts w:ascii="Times New Roman" w:eastAsia="Times New Roman" w:hAnsi="Times New Roman" w:cs="Times New Roman"/>
    </w:rPr>
  </w:style>
  <w:style w:type="character" w:customStyle="1" w:styleId="CharStyle12">
    <w:name w:val="Основной текст (7) Exact"/>
    <w:basedOn w:val="DefaultParagraphFont"/>
    <w:link w:val="Style11"/>
    <w:rPr>
      <w:lang w:val="en-US" w:eastAsia="en-US" w:bidi="en-US"/>
      <w:b/>
      <w:bCs/>
      <w:i/>
      <w:iCs/>
      <w:u w:val="none"/>
      <w:strike w:val="0"/>
      <w:smallCaps w:val="0"/>
      <w:sz w:val="15"/>
      <w:szCs w:val="15"/>
      <w:spacing w:val="-24"/>
    </w:rPr>
  </w:style>
  <w:style w:type="character" w:customStyle="1" w:styleId="CharStyle13">
    <w:name w:val="Основной текст (7) Exact"/>
    <w:basedOn w:val="CharStyle12"/>
    <w:rPr>
      <w:u w:val="single"/>
      <w:rFonts w:ascii="Courier New" w:eastAsia="Courier New" w:hAnsi="Courier New" w:cs="Courier New"/>
      <w:w w:val="100"/>
      <w:color w:val="000000"/>
      <w:position w:val="0"/>
    </w:rPr>
  </w:style>
  <w:style w:type="character" w:customStyle="1" w:styleId="CharStyle14">
    <w:name w:val="Основной текст (4) Exact"/>
    <w:basedOn w:val="DefaultParagraphFont"/>
    <w:rPr>
      <w:b w:val="0"/>
      <w:bCs w:val="0"/>
      <w:i w:val="0"/>
      <w:iCs w:val="0"/>
      <w:u w:val="none"/>
      <w:strike w:val="0"/>
      <w:smallCaps w:val="0"/>
      <w:sz w:val="17"/>
      <w:szCs w:val="17"/>
      <w:rFonts w:ascii="Times New Roman" w:eastAsia="Times New Roman" w:hAnsi="Times New Roman" w:cs="Times New Roman"/>
      <w:spacing w:val="3"/>
    </w:rPr>
  </w:style>
  <w:style w:type="character" w:customStyle="1" w:styleId="CharStyle16">
    <w:name w:val="Заголовок №2_"/>
    <w:basedOn w:val="DefaultParagraphFont"/>
    <w:link w:val="Style15"/>
    <w:rPr>
      <w:b/>
      <w:bCs/>
      <w:i w:val="0"/>
      <w:iCs w:val="0"/>
      <w:u w:val="none"/>
      <w:strike w:val="0"/>
      <w:smallCaps w:val="0"/>
      <w:sz w:val="26"/>
      <w:szCs w:val="26"/>
      <w:rFonts w:ascii="Times New Roman" w:eastAsia="Times New Roman" w:hAnsi="Times New Roman" w:cs="Times New Roman"/>
      <w:spacing w:val="-10"/>
    </w:rPr>
  </w:style>
  <w:style w:type="character" w:customStyle="1" w:styleId="CharStyle18">
    <w:name w:val="Основной текст (5)_"/>
    <w:basedOn w:val="DefaultParagraphFont"/>
    <w:link w:val="Style17"/>
    <w:rPr>
      <w:b w:val="0"/>
      <w:bCs w:val="0"/>
      <w:i w:val="0"/>
      <w:iCs w:val="0"/>
      <w:u w:val="none"/>
      <w:strike w:val="0"/>
      <w:smallCaps w:val="0"/>
      <w:sz w:val="15"/>
      <w:szCs w:val="15"/>
      <w:rFonts w:ascii="Times New Roman" w:eastAsia="Times New Roman" w:hAnsi="Times New Roman" w:cs="Times New Roman"/>
    </w:rPr>
  </w:style>
  <w:style w:type="character" w:customStyle="1" w:styleId="CharStyle20">
    <w:name w:val="Основной текст (6)_"/>
    <w:basedOn w:val="DefaultParagraphFont"/>
    <w:link w:val="Style19"/>
    <w:rPr>
      <w:b w:val="0"/>
      <w:bCs w:val="0"/>
      <w:i w:val="0"/>
      <w:iCs w:val="0"/>
      <w:u w:val="none"/>
      <w:strike w:val="0"/>
      <w:smallCaps w:val="0"/>
      <w:sz w:val="19"/>
      <w:szCs w:val="19"/>
      <w:rFonts w:ascii="Palatino Linotype" w:eastAsia="Palatino Linotype" w:hAnsi="Palatino Linotype" w:cs="Palatino Linotype"/>
    </w:rPr>
  </w:style>
  <w:style w:type="character" w:customStyle="1" w:styleId="CharStyle21">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2"/>
    </w:rPr>
  </w:style>
  <w:style w:type="character" w:customStyle="1" w:styleId="CharStyle23">
    <w:name w:val="Заголовок №1_"/>
    <w:basedOn w:val="DefaultParagraphFont"/>
    <w:link w:val="Style22"/>
    <w:rPr>
      <w:b/>
      <w:bCs/>
      <w:i w:val="0"/>
      <w:iCs w:val="0"/>
      <w:u w:val="none"/>
      <w:strike w:val="0"/>
      <w:smallCaps w:val="0"/>
      <w:sz w:val="26"/>
      <w:szCs w:val="26"/>
      <w:rFonts w:ascii="Times New Roman" w:eastAsia="Times New Roman" w:hAnsi="Times New Roman" w:cs="Times New Roman"/>
      <w:spacing w:val="50"/>
    </w:rPr>
  </w:style>
  <w:style w:type="character" w:customStyle="1" w:styleId="CharStyle24">
    <w:name w:val="Основной текст + Малые прописные"/>
    <w:basedOn w:val="CharStyle8"/>
    <w:rPr>
      <w:lang w:val="en-US" w:eastAsia="en-US" w:bidi="en-US"/>
      <w:smallCaps/>
      <w:sz w:val="24"/>
      <w:szCs w:val="24"/>
      <w:w w:val="100"/>
      <w:spacing w:val="0"/>
      <w:color w:val="000000"/>
      <w:position w:val="0"/>
    </w:rPr>
  </w:style>
  <w:style w:type="character" w:customStyle="1" w:styleId="CharStyle26">
    <w:name w:val="Основной текст (8)_"/>
    <w:basedOn w:val="DefaultParagraphFont"/>
    <w:link w:val="Style25"/>
    <w:rPr>
      <w:b w:val="0"/>
      <w:bCs w:val="0"/>
      <w:i/>
      <w:iCs/>
      <w:u w:val="none"/>
      <w:strike w:val="0"/>
      <w:smallCaps w:val="0"/>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360" w:line="226" w:lineRule="exact"/>
    </w:pPr>
    <w:rPr>
      <w:b/>
      <w:bCs/>
      <w:i w:val="0"/>
      <w:iCs w:val="0"/>
      <w:u w:val="none"/>
      <w:strike w:val="0"/>
      <w:smallCaps w:val="0"/>
      <w:sz w:val="19"/>
      <w:szCs w:val="19"/>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spacing w:line="298"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line="298" w:lineRule="exact"/>
      <w:ind w:hanging="5980"/>
    </w:pPr>
    <w:rPr>
      <w:b w:val="0"/>
      <w:bCs w:val="0"/>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spacing w:line="235"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1">
    <w:name w:val="Основной текст (7)"/>
    <w:basedOn w:val="Normal"/>
    <w:link w:val="CharStyle12"/>
    <w:pPr>
      <w:widowControl w:val="0"/>
      <w:shd w:val="clear" w:color="auto" w:fill="FFFFFF"/>
      <w:spacing w:line="0" w:lineRule="exact"/>
    </w:pPr>
    <w:rPr>
      <w:lang w:val="en-US" w:eastAsia="en-US" w:bidi="en-US"/>
      <w:b/>
      <w:bCs/>
      <w:i/>
      <w:iCs/>
      <w:u w:val="none"/>
      <w:strike w:val="0"/>
      <w:smallCaps w:val="0"/>
      <w:sz w:val="15"/>
      <w:szCs w:val="15"/>
      <w:spacing w:val="-24"/>
    </w:rPr>
  </w:style>
  <w:style w:type="paragraph" w:customStyle="1" w:styleId="Style15">
    <w:name w:val="Заголовок №2"/>
    <w:basedOn w:val="Normal"/>
    <w:link w:val="CharStyle16"/>
    <w:pPr>
      <w:widowControl w:val="0"/>
      <w:shd w:val="clear" w:color="auto" w:fill="FFFFFF"/>
      <w:jc w:val="center"/>
      <w:outlineLvl w:val="1"/>
      <w:spacing w:after="60" w:line="0" w:lineRule="exact"/>
    </w:pPr>
    <w:rPr>
      <w:b/>
      <w:bCs/>
      <w:i w:val="0"/>
      <w:iCs w:val="0"/>
      <w:u w:val="none"/>
      <w:strike w:val="0"/>
      <w:smallCaps w:val="0"/>
      <w:sz w:val="26"/>
      <w:szCs w:val="26"/>
      <w:rFonts w:ascii="Times New Roman" w:eastAsia="Times New Roman" w:hAnsi="Times New Roman" w:cs="Times New Roman"/>
      <w:spacing w:val="-10"/>
    </w:rPr>
  </w:style>
  <w:style w:type="paragraph" w:customStyle="1" w:styleId="Style17">
    <w:name w:val="Основной текст (5)"/>
    <w:basedOn w:val="Normal"/>
    <w:link w:val="CharStyle18"/>
    <w:pPr>
      <w:widowControl w:val="0"/>
      <w:shd w:val="clear" w:color="auto" w:fill="FFFFFF"/>
      <w:spacing w:after="180" w:line="178"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9">
    <w:name w:val="Основной текст (6)"/>
    <w:basedOn w:val="Normal"/>
    <w:link w:val="CharStyle20"/>
    <w:pPr>
      <w:widowControl w:val="0"/>
      <w:shd w:val="clear" w:color="auto" w:fill="FFFFFF"/>
      <w:spacing w:before="180" w:after="300" w:line="0" w:lineRule="exact"/>
    </w:pPr>
    <w:rPr>
      <w:b w:val="0"/>
      <w:bCs w:val="0"/>
      <w:i w:val="0"/>
      <w:iCs w:val="0"/>
      <w:u w:val="none"/>
      <w:strike w:val="0"/>
      <w:smallCaps w:val="0"/>
      <w:sz w:val="19"/>
      <w:szCs w:val="19"/>
      <w:rFonts w:ascii="Palatino Linotype" w:eastAsia="Palatino Linotype" w:hAnsi="Palatino Linotype" w:cs="Palatino Linotype"/>
    </w:rPr>
  </w:style>
  <w:style w:type="paragraph" w:customStyle="1" w:styleId="Style22">
    <w:name w:val="Заголовок №1"/>
    <w:basedOn w:val="Normal"/>
    <w:link w:val="CharStyle23"/>
    <w:pPr>
      <w:widowControl w:val="0"/>
      <w:shd w:val="clear" w:color="auto" w:fill="FFFFFF"/>
      <w:jc w:val="right"/>
      <w:outlineLvl w:val="0"/>
      <w:spacing w:line="0" w:lineRule="exact"/>
    </w:pPr>
    <w:rPr>
      <w:b/>
      <w:bCs/>
      <w:i w:val="0"/>
      <w:iCs w:val="0"/>
      <w:u w:val="none"/>
      <w:strike w:val="0"/>
      <w:smallCaps w:val="0"/>
      <w:sz w:val="26"/>
      <w:szCs w:val="26"/>
      <w:rFonts w:ascii="Times New Roman" w:eastAsia="Times New Roman" w:hAnsi="Times New Roman" w:cs="Times New Roman"/>
      <w:spacing w:val="50"/>
    </w:rPr>
  </w:style>
  <w:style w:type="paragraph" w:customStyle="1" w:styleId="Style25">
    <w:name w:val="Основной текст (8)"/>
    <w:basedOn w:val="Normal"/>
    <w:link w:val="CharStyle26"/>
    <w:pPr>
      <w:widowControl w:val="0"/>
      <w:shd w:val="clear" w:color="auto" w:fill="FFFFFF"/>
      <w:jc w:val="both"/>
      <w:spacing w:before="360" w:line="298" w:lineRule="exact"/>
      <w:ind w:firstLine="720"/>
    </w:pPr>
    <w:rPr>
      <w:b w:val="0"/>
      <w:bCs w:val="0"/>
      <w:i/>
      <w:iCs/>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