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220" w:wrap="around" w:vAnchor="text" w:hAnchor="margin" w:x="2270" w:y="3890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5"/>
        <w:tabs>
          <w:tab w:leader="none" w:pos="3254" w:val="right"/>
        </w:tabs>
        <w:widowControl w:val="0"/>
        <w:keepNext w:val="0"/>
        <w:keepLines w:val="0"/>
        <w:shd w:val="clear" w:color="auto" w:fill="auto"/>
        <w:bidi w:val="0"/>
        <w:spacing w:before="339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</w:t>
        <w:tab/>
        <w:t>ФЕДЕРАЛЬНАЯ;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163" w:line="20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АНТИМОНОПОЛЬНАЯ СЛУЖБА</w:t>
      </w:r>
    </w:p>
    <w:p>
      <w:pPr>
        <w:pStyle w:val="Style7"/>
        <w:tabs>
          <w:tab w:leader="none" w:pos="3933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■</w:t>
        <w:tab/>
        <w:t>;</w:t>
      </w:r>
    </w:p>
    <w:p>
      <w:pPr>
        <w:pStyle w:val="Style7"/>
        <w:tabs>
          <w:tab w:leader="none" w:pos="4798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186"/>
        <w:ind w:left="102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Ростовской области</w:t>
        <w:tab/>
        <w:t>;</w:t>
      </w:r>
    </w:p>
    <w:p>
      <w:pPr>
        <w:pStyle w:val="Style9"/>
        <w:tabs>
          <w:tab w:leader="none" w:pos="3933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134"/>
        <w:ind w:left="660" w:right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Ворошиловский. 2/2, офис 403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г. Ростов-на-Дону, 344006 тел. (863) 263-31-04.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 to6;l@fas.^ov.ru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|</w:t>
      </w:r>
    </w:p>
    <w:p>
      <w:pPr>
        <w:pStyle w:val="Style11"/>
        <w:tabs>
          <w:tab w:leader="none" w:pos="4798" w:val="right"/>
        </w:tabs>
        <w:widowControl w:val="0"/>
        <w:keepNext/>
        <w:keepLines/>
        <w:shd w:val="clear" w:color="auto" w:fill="auto"/>
        <w:bidi w:val="0"/>
        <w:spacing w:before="0" w:after="294" w:line="320" w:lineRule="exact"/>
        <w:ind w:left="1200" w:right="0" w:firstLine="0"/>
      </w:pPr>
      <w:bookmarkStart w:id="0" w:name="bookmark0"/>
      <w:r>
        <w:rPr>
          <w:rStyle w:val="CharStyle13"/>
          <w:i/>
          <w:iCs/>
        </w:rPr>
        <w:t>ЯЖХо</w:t>
      </w:r>
      <w:r>
        <w:rPr>
          <w:lang w:val="ru-RU" w:eastAsia="ru-RU" w:bidi="ru-RU"/>
          <w:w w:val="100"/>
          <w:color w:val="000000"/>
          <w:position w:val="0"/>
        </w:rPr>
        <w:t>ар</w:t>
      </w:r>
      <w:r>
        <w:rPr>
          <w:rStyle w:val="CharStyle14"/>
          <w:vertAlign w:val="subscript"/>
          <w:i w:val="0"/>
          <w:iCs w:val="0"/>
        </w:rPr>
        <w:t>№</w:t>
      </w:r>
      <w:r>
        <w:rPr>
          <w:rStyle w:val="CharStyle14"/>
          <w:i w:val="0"/>
          <w:iCs w:val="0"/>
        </w:rPr>
        <w:tab/>
      </w:r>
      <w:r>
        <w:rPr>
          <w:rStyle w:val="CharStyle15"/>
          <w:i/>
          <w:iCs/>
        </w:rPr>
        <w:t>'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«Продпоставки-Регион»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176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(далее - Заявитель, Общество, Победитель) ул. Украинская, д.5А^ г. Новочеркасск, Ростовская обл., 346400 эл. почта: </w:t>
      </w:r>
      <w:r>
        <w:fldChar w:fldCharType="begin"/>
      </w:r>
      <w:r>
        <w:rPr>
          <w:color w:val="000000"/>
        </w:rPr>
        <w:instrText> HYPERLINK "mailto:DavidovCorp@yandex.ru"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DavidovCorp@yandex.ru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МБДОУ г. Ростова-на-Дону «Детский сад №220»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Организатор совместного конкурса) ул. Зорге, д.39/2, г. Ростов-на-Дону, 344015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эл. почта: </w:t>
      </w:r>
      <w:r>
        <w:fldChar w:fldCharType="begin"/>
      </w:r>
      <w:r>
        <w:rPr>
          <w:color w:val="000000"/>
        </w:rPr>
        <w:instrText> HYPERLINK "mailto:ds220@aaanet.ru"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ds220@aaanet.ru</w:t>
      </w:r>
      <w:r>
        <w:fldChar w:fldCharType="end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40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: 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! ' : ’ !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' ‘</w:t>
      </w:r>
    </w:p>
    <w:p>
      <w:pPr>
        <w:pStyle w:val="Style20"/>
        <w:tabs>
          <w:tab w:leader="none" w:pos="722" w:val="center"/>
          <w:tab w:leader="none" w:pos="1317" w:val="left"/>
        </w:tabs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40" w:right="0" w:firstLine="0"/>
      </w:pPr>
      <w:r>
        <w:rPr>
          <w:lang w:val="ru-RU" w:eastAsia="ru-RU" w:bidi="ru-RU"/>
          <w:w w:val="100"/>
          <w:color w:val="000000"/>
          <w:position w:val="0"/>
        </w:rPr>
        <w:t>' *■</w:t>
        <w:tab/>
        <w:t>'</w:t>
        <w:tab/>
        <w:t xml:space="preserve">! ! . </w:t>
      </w:r>
      <w:r>
        <w:rPr>
          <w:lang w:val="en-US" w:eastAsia="en-US" w:bidi="en-US"/>
          <w:w w:val="100"/>
          <w:color w:val="000000"/>
          <w:position w:val="0"/>
        </w:rPr>
        <w:t xml:space="preserve">j </w:t>
      </w:r>
      <w:r>
        <w:rPr>
          <w:rStyle w:val="CharStyle22"/>
        </w:rPr>
        <w:t>ц ■■ I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Правительство Ростовской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Привлеченное лицо)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18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344050, г. Ростов-на-Дону, ул. Социалистическая, д. 112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ЗАО «Сбербанк-АСД»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96" w:left="897" w:right="1243" w:bottom="404" w:header="0" w:footer="3" w:gutter="0"/>
          <w:rtlGutter w:val="0"/>
          <w:cols w:num="2" w:space="102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(далее - Оператор электронной площадки) эл. почта: </w:t>
      </w:r>
      <w:r>
        <w:fldChar w:fldCharType="begin"/>
      </w:r>
      <w:r>
        <w:rPr>
          <w:color w:val="000000"/>
        </w:rPr>
        <w:instrText> HYPERLINK "mailto:ko@sberbaiik-ast.ru"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ko@sberbaiik-ast.ru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" w:after="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0" w:right="360" w:firstLine="2320"/>
        <w:sectPr>
          <w:type w:val="continuous"/>
          <w:pgSz w:w="11906" w:h="16838"/>
          <w:pgMar w:top="611" w:left="2444" w:right="2276" w:bottom="41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 РЕШЕНИЕ по делу № 061/06/83.2-40/2020 о нарушении законодательства о контрактной системе в сфере закупок</w:t>
      </w:r>
    </w:p>
    <w:p>
      <w:pPr>
        <w:widowControl w:val="0"/>
        <w:spacing w:before="55" w:after="5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framePr w:h="245" w:wrap="around" w:hAnchor="margin" w:x="7900" w:y="855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3"/>
          <w:spacing w:val="0"/>
        </w:rPr>
        <w:t>г. Ростов-на-Дону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6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15 января 2020 года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8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(далее - Ростовское У ФАС России) по контролю соблюдения законодательства о контрактной системе в сфере закупок в составе:</w:t>
      </w:r>
    </w:p>
    <w:p>
      <w:pPr>
        <w:pStyle w:val="Style7"/>
        <w:tabs>
          <w:tab w:leader="none" w:pos="4018" w:val="lef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10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  <w:tab/>
        <w:t>М.А. Благодарев,</w:t>
      </w:r>
    </w:p>
    <w:p>
      <w:pPr>
        <w:pStyle w:val="Style7"/>
        <w:tabs>
          <w:tab w:leader="none" w:pos="4018" w:val="lef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10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  <w:tab/>
        <w:t xml:space="preserve">А.А. Михарская,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P.EL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Рыбин,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86" w:line="298" w:lineRule="exact"/>
        <w:ind w:left="20" w:right="2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рассмотрев дело № 061/06/83.2-40/2020 о нарушении норм Федерального закона «О контрактной системе в сфере закупок товаров, работ, услуг для обеспечения государственных и муниципальных нужд» (далее - Закон) при проведении совместного открытого конкурса в электронной форме №0358300391019000013 «Поставка продуктов питания (овощи соленые) для обеспечения нужд дошкольных образовательных учреждений Советского района города Ростова-на-Дону», в присутствии: от Заказчика - Драчук А.А., Перелыгиной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B.C.,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Масловой Ю.С., представителя Общества - Чебиной Л.П., в отсутствие представителя Привлеченного лица,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center"/>
        <w:spacing w:before="0" w:after="252" w:line="240" w:lineRule="exact"/>
        <w:ind w:left="2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30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Ростовское У ФАС России поступила жалоба Заявителя действия конкурсной комиссии Заказчика.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8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мнению Заявителя, конкурсная комиссия признала его уклонившимся от заключения контракта с нарушениями Закона.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right"/>
        <w:spacing w:before="0" w:after="1305" w:line="240" w:lineRule="exact"/>
        <w:ind w:left="0" w:right="2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которой обжалуются</w:t>
      </w:r>
    </w:p>
    <w:p>
      <w:pPr>
        <w:pStyle w:val="Style26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28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025569</w:t>
      </w:r>
      <w:bookmarkEnd w:id="1"/>
      <w:r>
        <w:br w:type="page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в возражениях (от 14.01.2020) на жалобу: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9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отрицал нарушения Закона при рассмотрении заявок участников;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9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представил пояснения по доводам жалобы;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36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ч.ч.1, 3, 15 ст.99 Закона, «Административным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;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 (далее - Регламент), утвержденным Приказом ФАС России от 19.11.2014 г. №727/14, по указанной жалобе проведена внеплановая проверка порядка осуществления закупки, в результате которой установлено следующее: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«Извещению о проведении электронного аукциона» №0358300391019000013: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установлены дата и время окончания подачи заявок - 06.12.2019 в 09:00;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начальная (максимальная) цена контракта (НМЦК) составила 2059989,95 руб.;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Извещение, документация размещены в Единой информационной системе (ЕИС)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rStyle w:val="CharStyle28"/>
        </w:rPr>
        <w:instrText> HYPERLINK "http://www.zakupki.gov.ni" </w:instrText>
      </w:r>
      <w:r>
        <w:fldChar w:fldCharType="separate"/>
      </w:r>
      <w:r>
        <w:rPr>
          <w:rStyle w:val="Hyperlink"/>
        </w:rPr>
        <w:t>www.zakupki.gov.ni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20.11.2019.</w:t>
      </w:r>
    </w:p>
    <w:p>
      <w:pPr>
        <w:pStyle w:val="Style29"/>
        <w:tabs>
          <w:tab w:leader="none" w:pos="1939" w:val="center"/>
          <w:tab w:leader="none" w:pos="2165" w:val="right"/>
          <w:tab w:leader="none" w:pos="2318" w:val="left"/>
          <w:tab w:leader="none" w:pos="3974" w:val="center"/>
          <w:tab w:leader="none" w:pos="4982" w:val="right"/>
          <w:tab w:leader="none" w:pos="5678" w:val="right"/>
          <w:tab w:leader="none" w:pos="6672" w:val="right"/>
          <w:tab w:leader="none" w:pos="6413" w:val="right"/>
          <w:tab w:leader="none" w:pos="6672" w:val="right"/>
          <w:tab w:leader="none" w:pos="7354" w:val="right"/>
          <w:tab w:leader="none" w:pos="7190" w:val="right"/>
          <w:tab w:leader="none" w:pos="7354" w:val="right"/>
          <w:tab w:leader="none" w:pos="7939" w:val="right"/>
        </w:tabs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20" w:right="0" w:firstLine="0"/>
      </w:pPr>
      <w:r>
        <w:rPr>
          <w:w w:val="100"/>
          <w:color w:val="000000"/>
          <w:position w:val="0"/>
        </w:rPr>
        <w:t>IT?</w:t>
        <w:tab/>
      </w:r>
      <w:r>
        <w:rPr>
          <w:lang w:val="ru-RU" w:eastAsia="ru-RU" w:bidi="ru-RU"/>
          <w:w w:val="100"/>
          <w:color w:val="000000"/>
          <w:position w:val="0"/>
        </w:rPr>
        <w:t>.</w:t>
        <w:tab/>
        <w:t>*_</w:t>
        <w:tab/>
        <w:t>V |</w:t>
        <w:tab/>
      </w:r>
      <w:r>
        <w:rPr>
          <w:w w:val="100"/>
          <w:color w:val="000000"/>
          <w:position w:val="0"/>
        </w:rPr>
        <w:t>;</w:t>
        <w:tab/>
      </w:r>
      <w:r>
        <w:rPr>
          <w:lang w:val="ru-RU" w:eastAsia="ru-RU" w:bidi="ru-RU"/>
          <w:w w:val="100"/>
          <w:color w:val="000000"/>
          <w:position w:val="0"/>
        </w:rPr>
        <w:t>'Т.'</w:t>
        <w:tab/>
      </w:r>
      <w:r>
        <w:rPr>
          <w:vertAlign w:val="superscript"/>
          <w:w w:val="100"/>
          <w:color w:val="000000"/>
          <w:position w:val="0"/>
        </w:rPr>
        <w:t>:</w:t>
      </w:r>
      <w:r>
        <w:rPr>
          <w:w w:val="100"/>
          <w:color w:val="000000"/>
          <w:position w:val="0"/>
        </w:rPr>
        <w:tab/>
        <w:t>i*</w:t>
        <w:tab/>
        <w:t>i</w:t>
        <w:tab/>
        <w:t>•</w:t>
        <w:tab/>
        <w:t>I</w:t>
        <w:tab/>
        <w:t>*</w:t>
        <w:tab/>
      </w:r>
      <w:r>
        <w:rPr>
          <w:vertAlign w:val="superscript"/>
          <w:w w:val="100"/>
          <w:color w:val="000000"/>
          <w:position w:val="0"/>
        </w:rPr>
        <w:t>:</w:t>
      </w:r>
      <w:r>
        <w:rPr>
          <w:w w:val="100"/>
          <w:color w:val="000000"/>
          <w:position w:val="0"/>
        </w:rPr>
        <w:tab/>
        <w:t>■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Рассматривая жалобу Заявителя Комиссией Ростовского У ФАС России (далее - Комиссия) установлено следующее.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Заявителем в жалобе указано, что конкурсная комиссия признала его уклонившимся от заключения контракта .^нарушениями Закона. |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Протоколом подведения итогов Открытого конкурса в электронной форме от 16.12.2019 заявка Общества признана соответствующей требованиям Закона, а также Общество признано победителем конкурса, с ценой контракта сниженной более чем на 25%.</w:t>
      </w:r>
    </w:p>
    <w:p>
      <w:pPr>
        <w:pStyle w:val="Style7"/>
        <w:framePr w:h="249" w:vSpace="48" w:wrap="around" w:vAnchor="text" w:hAnchor="margin" w:x="7515" w:y="388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rStyle w:val="CharStyle23"/>
          <w:spacing w:val="0"/>
        </w:rPr>
        <w:t>участника электронной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ч.2 ст.83.2 Закона в течение пяти дней с даты размещения в единой информационной системе указанных в части 12 статьи 54.7, части 8 статьи 69, части 8 статьи 82.4, части 23 статьи 83.1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контракта, который составляется путем включения с использованием единой информационной системы в проект контракта, прилагаемый к документации или извещению о закупке, цены контракта (за исключением части 2.1 настоящей статьи), предложенной участником закупки, с которым заключается контракт, либо предложения о цене за право заключения контракта в случае, предусмотренном частью 23 статьи 68 Закона; а также включения представленной в соответствии с настоящим Федеральным законом информации о товаре (товарном знаке и (или) конкретных показателях товара, стране происхождения товара), информации, предусмотренной пунктом 2 щасти 4 статьи 54.4, пунктом 7 части 9 статьи</w:t>
      </w:r>
    </w:p>
    <w:p>
      <w:pPr>
        <w:pStyle w:val="Style7"/>
        <w:numPr>
          <w:ilvl w:val="0"/>
          <w:numId w:val="3"/>
        </w:numPr>
        <w:tabs>
          <w:tab w:leader="none" w:pos="606" w:val="lef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Закона, указанных в заявке, окончательном предложении процедуры.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регламентированный Законом срок (24.12.2019) Заказчик разместил проект контракта в ЕИС и направил Победителю.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Частью 3 статьи 83.2 Закона установлено, что в течение пяти дней с даты размещения заказчиком в единой информационной системе проекта контракта</w:t>
        <w:br w:type="page"/>
        <w:t>победитель электронной процедуры подписывает усиленной электронной подписью указанный проект контракта, размещает на электронной площадке подписанный проект контракта и документ, подтверждающий предоставление обеспечения исполнения контракта, если данное требование установлено в извещении и (или) документации о закупке, либо размещает протокол разногласий, предусмотренный частью 4 настоящей статьи.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ч.4 ст.83.2 Закона в течение пяти дней с даты размещения заказчиком в единой информационной системе проекта контракта победитель электронной процедуры, с которым заключается контракт, в случае наличия разногласий по проекту контракта, размещенному в соответствии с частью 2 настоящей статьи, размещает на электронной площадке протокол разногласий, подписанный усиленной электронной подписью лица, имеющего право действовать от имени победителя электронной процедуры. Указанный протокол может быть размещен на электронной площадке в отношении соответствующего контракта не более чем один раз. При этом цобедитель электронной процедуры, с которым заключается контракт, указывает в (протоколе разногласий замечания к положениям проекта контракта, не соответствующим документации и (или) извещению о закупке и своей заявке на участие в электронной процедуре, с указанием соответствующих положений данных документов.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Частью 9 статьи 37 Закона установлено, что если предметом контракта, для заключения которого проводится конкурс или аукцион,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контракта, сумму цен единиц товара на двадцать пять и более процентов ниже начальной (максимальной) цены контракта, начальной суммы цен единиц товара, наряду с требованиями, предусмотренными настоящей статьей, обязан представить заказчику обоснование предлагаемых цены контракта, суммы цен единиц товара, которое может включать в себя гарантийное письмо от производителя с указанием цены и количества поставляемого товара (за исключением случая, если количество поставляемых товаров /невозможно определить), документы, подтверждающие наличие товара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 участника закупки, иные I документы и расчеты, подтверждающие возможность участника- закупки осуществить поставку товара по предлагаемым цене, сумме цен единиц товара.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ч.8.1 ст.96 Закона участник закупки, с которым заключается контракт по результатам определения поставщика (подрядчика, исполнителя) в соответствии с пунктом 1 части 1 статьи 30 Закона, освобождается от предоставления обеспечения исполнения контракта, в том числе с учетом положений статьи 37 Закона, в случае предоставления таким участником закупки информации, содержащейся в реестре контрактов, заключенных заказчиками, и подтверждающей исполнение таким участником (без учета правопреемства) в течение трех лет до даты подачи заявки на участие в закупке трех контрактов, исполненных без применения к такому участнику неустоек (штрафов, пеней). Такая информация представляется участником закупки до заключения контракта в случаях, установленных настоящим Федеральным законом для предоставления обеспечения, исполнения контракта. При этом сумма цен таких контрактов должна составлять не менее начальной (максимальной) цены контракта, указанной в извещении об осуществлении закупки и документации о закупке.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регламентированный Законом срок (30.12.2019) Победителем подписан проект контракта, который вместе со сведениями о подтверждении добросовестности, в порядке</w:t>
      </w:r>
    </w:p>
    <w:p>
      <w:pPr>
        <w:pStyle w:val="Style7"/>
        <w:numPr>
          <w:ilvl w:val="0"/>
          <w:numId w:val="5"/>
        </w:numPr>
        <w:tabs>
          <w:tab w:leader="none" w:pos="676" w:val="lef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ст.96 Закона, а также гарантийным письмом о цене товара, направлен Заказчику.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Протоколу от 30.12.2019 конкурсной комиссией Заказчика ООО «Пропоставки-Регион» признано участником закупки, уклонившимся от заключения контракта, так как предоставило гарантийное письмо о наличии товара и его цене за своей подписью, при том, что Победитель не является производителем предполагаемой к поставке продукции, то есть Победителем нарушены требования ч.9 ст.37 Закона.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ч.13 ст.82.3 Закона победитель электронной процедуры (за исключением победителя, предусмотренного частью 14 настоящей статьи) признается заказчиком уклонившимся от заключения контракта в случае, если в сроки, предусмотренные настоящей статьей, он не направил заказчику проект контракта, подписанный лицом, имеющим право действовать от имени такого победителя, или не направил протокол разногласий, предусмотренный частью 4 настоящей статьи, или не исполнил требования, предусмотренные статьей 37 Закона (в случае снижения при проведении электронного аукциона или конкурса цены контракта на двадцать пять процентов и более от начальной (максимальной) цены контракта). При этом заказчик не позднее одного рабочего дня, следующего за днем признания победителя электронной процедуры уклонившимся от заключения контракта,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контракта, содержащий информацию о месте и времени его составления, о победителе, признанном уклонившимся от заключения контракта, о факте, являющемся основанием для такого признания, а также реквизиты документов, подтверждающих этот факт.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Обществом представлены письменные пояснения по ! поводу уклонения от заключения контракта.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пояснения следует, что ООО «Продпоставки-Регион» желало заключить контракт по результатам закупки. По данным Общества, 24.12.2019 им подписан проект контракта, а также представлена информация о трех реестровый номерах контрактов в соответствии с 4.8.1 ст.96 Закона. При этом, в связи с неверным трактованием ч.9 ст.37 Закона в адрес Заказчика направлено гарантийное письмо о количестве и цене товара за собственной подписью.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16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После обнаружения ошибки, Общество незамедлительно предприняло меры к устранению нарушений Закона и получило гарантийное письмо у; производителя товара - ООО «Донзасолпром», копия которого представлено в материалы дела. Однако, заказчиками по рассматриваемому конкурсу принято решение о признании Общества уклонившимся от заключения контракта.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Комиссия пришла к выводу о необоснованности доводов жалобы Заявителя, в виду того, что конкурсная комиссия Заказчика при признании Общества уклонившимся от заключения контракта обоснованно руководствовалась ст.ст.37, 96 Закона, в связи с чем жалоба Заявителя является необоснованной.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86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Постановления Правительства Российской Федерации от 26.08.2013 №728, в соответствии со ст.ст.99, 106 Закона Комиссия Ростовского УФАС России</w:t>
      </w:r>
    </w:p>
    <w:p>
      <w:pPr>
        <w:pStyle w:val="Style31"/>
        <w:widowControl w:val="0"/>
        <w:keepNext/>
        <w:keepLines/>
        <w:shd w:val="clear" w:color="auto" w:fill="auto"/>
        <w:bidi w:val="0"/>
        <w:spacing w:before="0" w:after="302" w:line="240" w:lineRule="exact"/>
        <w:ind w:left="0" w:right="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  <w:bookmarkEnd w:id="2"/>
    </w:p>
    <w:p>
      <w:pPr>
        <w:pStyle w:val="Style7"/>
        <w:numPr>
          <w:ilvl w:val="0"/>
          <w:numId w:val="7"/>
        </w:numPr>
        <w:tabs>
          <w:tab w:leader="none" w:pos="694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Заявителя необоснованной.</w:t>
      </w:r>
      <w:r>
        <w:br w:type="page"/>
      </w:r>
    </w:p>
    <w:p>
      <w:pPr>
        <w:pStyle w:val="Style7"/>
        <w:numPr>
          <w:ilvl w:val="0"/>
          <w:numId w:val="7"/>
        </w:numPr>
        <w:tabs>
          <w:tab w:leader="none" w:pos="750" w:val="left"/>
        </w:tabs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740" w:right="0" w:hanging="3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Оператору электронной площадки обеспечить Заказчику, конкурсной комиссии Заказчика возможность совершения дальнейших действий, предусмотренных Законом, по конкурсу.</w:t>
      </w:r>
    </w:p>
    <w:p>
      <w:pPr>
        <w:pStyle w:val="Style24"/>
        <w:framePr w:w="1576" w:h="556" w:wrap="notBeside" w:vAnchor="text" w:hAnchor="margin" w:x="147" w:y="1049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Рыбин Р.Н. </w:t>
      </w:r>
      <w:r>
        <w:rPr>
          <w:lang w:val="en-US" w:eastAsia="en-US" w:bidi="en-US"/>
          <w:w w:val="100"/>
          <w:spacing w:val="0"/>
          <w:color w:val="000000"/>
          <w:position w:val="0"/>
        </w:rPr>
        <w:t>to61 -</w:t>
      </w:r>
      <w:r>
        <w:fldChar w:fldCharType="begin"/>
      </w:r>
      <w:r>
        <w:rPr>
          <w:color w:val="000000"/>
        </w:rPr>
        <w:instrText> HYPERLINK "mailto:rybin@fas.gov"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rybin@fas.gov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ги тел. (863)240-86-88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18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I</w:t>
      </w:r>
    </w:p>
    <w:sectPr>
      <w:type w:val="continuous"/>
      <w:pgSz w:w="11906" w:h="16838"/>
      <w:pgMar w:top="993" w:left="827" w:right="750" w:bottom="80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83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ч.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7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Calibri" w:eastAsia="Calibri" w:hAnsi="Calibri" w:cs="Calibri"/>
      <w:spacing w:val="6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3)_"/>
    <w:basedOn w:val="DefaultParagraphFont"/>
    <w:link w:val="Style9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2">
    <w:name w:val="Заголовок №2_"/>
    <w:basedOn w:val="DefaultParagraphFont"/>
    <w:link w:val="Style11"/>
    <w:rPr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20"/>
    </w:rPr>
  </w:style>
  <w:style w:type="character" w:customStyle="1" w:styleId="CharStyle13">
    <w:name w:val="Заголовок №2"/>
    <w:basedOn w:val="CharStyle12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4">
    <w:name w:val="Заголовок №2 + Не курсив,Интервал 0 pt"/>
    <w:basedOn w:val="CharStyle12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5">
    <w:name w:val="Заголовок №2 + 8 pt,Интервал 0 pt"/>
    <w:basedOn w:val="CharStyle12"/>
    <w:rPr>
      <w:lang w:val="ru-RU" w:eastAsia="ru-RU" w:bidi="ru-RU"/>
      <w:sz w:val="16"/>
      <w:szCs w:val="16"/>
      <w:w w:val="100"/>
      <w:spacing w:val="0"/>
      <w:color w:val="000000"/>
      <w:position w:val="0"/>
    </w:rPr>
  </w:style>
  <w:style w:type="character" w:customStyle="1" w:styleId="CharStyle17">
    <w:name w:val="Основной текст (4)_"/>
    <w:basedOn w:val="DefaultParagraphFont"/>
    <w:link w:val="Style1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9">
    <w:name w:val="Основной текст (5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1">
    <w:name w:val="Основной текст (6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10"/>
    </w:rPr>
  </w:style>
  <w:style w:type="character" w:customStyle="1" w:styleId="CharStyle22">
    <w:name w:val="Основной текст (6) + Franklin Gothic Medium,11,5 pt,Курсив,Интервал -1 pt"/>
    <w:basedOn w:val="CharStyle21"/>
    <w:rPr>
      <w:lang w:val="ru-RU" w:eastAsia="ru-RU" w:bidi="ru-RU"/>
      <w:i/>
      <w:iCs/>
      <w:sz w:val="23"/>
      <w:szCs w:val="23"/>
      <w:rFonts w:ascii="Franklin Gothic Medium" w:eastAsia="Franklin Gothic Medium" w:hAnsi="Franklin Gothic Medium" w:cs="Franklin Gothic Medium"/>
      <w:w w:val="100"/>
      <w:spacing w:val="-20"/>
      <w:color w:val="000000"/>
      <w:position w:val="0"/>
    </w:rPr>
  </w:style>
  <w:style w:type="character" w:customStyle="1" w:styleId="CharStyle2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1"/>
    </w:rPr>
  </w:style>
  <w:style w:type="character" w:customStyle="1" w:styleId="CharStyle25">
    <w:name w:val="Основной текст (10) Exact"/>
    <w:basedOn w:val="DefaultParagraphFont"/>
    <w:link w:val="Style24"/>
    <w:rPr>
      <w:b w:val="0"/>
      <w:bCs w:val="0"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5"/>
    </w:rPr>
  </w:style>
  <w:style w:type="character" w:customStyle="1" w:styleId="CharStyle27">
    <w:name w:val="Заголовок №1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character" w:customStyle="1" w:styleId="CharStyle28">
    <w:name w:val="Основной текст"/>
    <w:basedOn w:val="CharStyle8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0">
    <w:name w:val="Основной текст (8)_"/>
    <w:basedOn w:val="DefaultParagraphFont"/>
    <w:link w:val="Style29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20"/>
    </w:rPr>
  </w:style>
  <w:style w:type="character" w:customStyle="1" w:styleId="CharStyle32">
    <w:name w:val="Заголовок №3_"/>
    <w:basedOn w:val="DefaultParagraphFont"/>
    <w:link w:val="Style31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4">
    <w:name w:val="Основной текст (9)_"/>
    <w:basedOn w:val="DefaultParagraphFont"/>
    <w:link w:val="Style33"/>
    <w:rPr>
      <w:b w:val="0"/>
      <w:bCs w:val="0"/>
      <w:i/>
      <w:iCs/>
      <w:u w:val="none"/>
      <w:strike w:val="0"/>
      <w:smallCaps w:val="0"/>
      <w:sz w:val="26"/>
      <w:szCs w:val="26"/>
      <w:rFonts w:ascii="Lucida Sans Unicode" w:eastAsia="Lucida Sans Unicode" w:hAnsi="Lucida Sans Unicode" w:cs="Lucida Sans Unicode"/>
    </w:rPr>
  </w:style>
  <w:style w:type="paragraph" w:customStyle="1" w:styleId="Style3">
    <w:name w:val="Основной текст (7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Calibri" w:eastAsia="Calibri" w:hAnsi="Calibri" w:cs="Calibri"/>
      <w:spacing w:val="6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both"/>
      <w:spacing w:before="360" w:line="0" w:lineRule="exact"/>
      <w:ind w:hanging="1000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jc w:val="both"/>
      <w:spacing w:before="240" w:line="269" w:lineRule="exact"/>
      <w:ind w:hanging="100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spacing w:before="120" w:after="240" w:line="187" w:lineRule="exact"/>
      <w:ind w:firstLine="340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FFFFFF"/>
      <w:jc w:val="both"/>
      <w:outlineLvl w:val="1"/>
      <w:spacing w:before="240" w:after="360" w:line="0" w:lineRule="exact"/>
    </w:pPr>
    <w:rPr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20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0">
    <w:name w:val="Основной текст (6)"/>
    <w:basedOn w:val="Normal"/>
    <w:link w:val="CharStyle21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10"/>
    </w:rPr>
  </w:style>
  <w:style w:type="paragraph" w:customStyle="1" w:styleId="Style24">
    <w:name w:val="Основной текст (10)"/>
    <w:basedOn w:val="Normal"/>
    <w:link w:val="CharStyle25"/>
    <w:pPr>
      <w:widowControl w:val="0"/>
      <w:shd w:val="clear" w:color="auto" w:fill="FFFFFF"/>
      <w:spacing w:line="182" w:lineRule="exact"/>
    </w:pPr>
    <w:rPr>
      <w:b w:val="0"/>
      <w:bCs w:val="0"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5"/>
    </w:rPr>
  </w:style>
  <w:style w:type="paragraph" w:customStyle="1" w:styleId="Style26">
    <w:name w:val="Заголовок №1"/>
    <w:basedOn w:val="Normal"/>
    <w:link w:val="CharStyle27"/>
    <w:pPr>
      <w:widowControl w:val="0"/>
      <w:shd w:val="clear" w:color="auto" w:fill="FFFFFF"/>
      <w:jc w:val="right"/>
      <w:outlineLvl w:val="0"/>
      <w:spacing w:before="1380"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paragraph" w:customStyle="1" w:styleId="Style29">
    <w:name w:val="Основной текст (8)"/>
    <w:basedOn w:val="Normal"/>
    <w:link w:val="CharStyle30"/>
    <w:pPr>
      <w:widowControl w:val="0"/>
      <w:shd w:val="clear" w:color="auto" w:fill="FFFFFF"/>
      <w:jc w:val="both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20"/>
    </w:rPr>
  </w:style>
  <w:style w:type="paragraph" w:customStyle="1" w:styleId="Style31">
    <w:name w:val="Заголовок №3"/>
    <w:basedOn w:val="Normal"/>
    <w:link w:val="CharStyle32"/>
    <w:pPr>
      <w:widowControl w:val="0"/>
      <w:shd w:val="clear" w:color="auto" w:fill="FFFFFF"/>
      <w:jc w:val="center"/>
      <w:outlineLvl w:val="2"/>
      <w:spacing w:before="240"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3">
    <w:name w:val="Основной текст (9)"/>
    <w:basedOn w:val="Normal"/>
    <w:link w:val="CharStyle34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Lucida Sans Unicode" w:eastAsia="Lucida Sans Unicode" w:hAnsi="Lucida Sans Unicode" w:cs="Lucida Sans Unicod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