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568" w:h="3619" w:wrap="around" w:vAnchor="text" w:hAnchor="margin" w:x="183" w:y="-74"/>
        <w:widowControl w:val="0"/>
        <w:keepNext w:val="0"/>
        <w:keepLines w:val="0"/>
        <w:shd w:val="clear" w:color="auto" w:fill="auto"/>
        <w:bidi w:val="0"/>
        <w:spacing w:before="0" w:after="280"/>
        <w:ind w:left="0" w:right="0" w:firstLine="0"/>
      </w:pPr>
      <w:r>
        <w:rPr>
          <w:rStyle w:val="CharStyle4"/>
          <w:b/>
          <w:bCs/>
          <w:spacing w:val="0"/>
        </w:rPr>
        <w:t>ФЕДЕРАЛЬНАЯ АНТИМОНОПОЛЬНАЯ СЛУЖБА</w:t>
      </w:r>
    </w:p>
    <w:p>
      <w:pPr>
        <w:pStyle w:val="Style3"/>
        <w:framePr w:w="4568" w:h="3619" w:wrap="around" w:vAnchor="text" w:hAnchor="margin" w:x="183" w:y="-74"/>
        <w:widowControl w:val="0"/>
        <w:keepNext w:val="0"/>
        <w:keepLines w:val="0"/>
        <w:shd w:val="clear" w:color="auto" w:fill="auto"/>
        <w:bidi w:val="0"/>
        <w:spacing w:before="0" w:after="218" w:line="274" w:lineRule="exact"/>
        <w:ind w:left="0" w:right="0" w:firstLine="0"/>
      </w:pPr>
      <w:r>
        <w:rPr>
          <w:rStyle w:val="CharStyle4"/>
          <w:b/>
          <w:bCs/>
          <w:spacing w:val="0"/>
        </w:rPr>
        <w:t>УПРАВЛЕНИЕ Федеральной антимонопольной службы по Забайкальскому краю</w:t>
      </w:r>
    </w:p>
    <w:p>
      <w:pPr>
        <w:pStyle w:val="Style5"/>
        <w:framePr w:w="4568" w:h="3619" w:wrap="around" w:vAnchor="text" w:hAnchor="margin" w:x="183" w:y="-74"/>
        <w:widowControl w:val="0"/>
        <w:keepNext w:val="0"/>
        <w:keepLines w:val="0"/>
        <w:shd w:val="clear" w:color="auto" w:fill="auto"/>
        <w:bidi w:val="0"/>
        <w:jc w:val="center"/>
        <w:spacing w:before="0" w:after="234" w:line="227" w:lineRule="exact"/>
        <w:ind w:left="0" w:right="0" w:firstLine="0"/>
      </w:pPr>
      <w:r>
        <w:rPr>
          <w:rStyle w:val="CharStyle6"/>
          <w:spacing w:val="0"/>
        </w:rPr>
        <w:t xml:space="preserve">ул. Лермонтова , 14, а/я 803, г. Чита, Забайкальский край, 672000 тел. (3022)35-18-41, факс (3022)32-12-31 </w:t>
      </w:r>
      <w:r>
        <w:rPr>
          <w:rStyle w:val="CharStyle6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6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to75@fas.gov.ru</w:t>
      </w:r>
      <w:r>
        <w:fldChar w:fldCharType="end"/>
      </w:r>
    </w:p>
    <w:p>
      <w:pPr>
        <w:pStyle w:val="Style7"/>
        <w:framePr w:w="4568" w:h="3619" w:wrap="around" w:vAnchor="text" w:hAnchor="margin" w:x="183" w:y="-74"/>
        <w:widowControl w:val="0"/>
        <w:keepNext w:val="0"/>
        <w:keepLines w:val="0"/>
        <w:shd w:val="clear" w:color="auto" w:fill="auto"/>
        <w:bidi w:val="0"/>
        <w:jc w:val="left"/>
        <w:spacing w:before="0" w:after="29" w:line="160" w:lineRule="exact"/>
        <w:ind w:left="1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20</w:t>
      </w:r>
      <w:r>
        <w:rPr>
          <w:rStyle w:val="CharStyle9"/>
          <w:spacing w:val="0"/>
        </w:rPr>
        <w:t>.</w:t>
      </w:r>
      <w:r>
        <w:rPr>
          <w:lang w:val="ru-RU" w:eastAsia="ru-RU" w:bidi="ru-RU"/>
          <w:w w:val="100"/>
          <w:spacing w:val="0"/>
          <w:color w:val="000000"/>
          <w:position w:val="0"/>
        </w:rPr>
        <w:t>01.2020</w:t>
      </w:r>
      <w:r>
        <w:rPr>
          <w:rStyle w:val="CharStyle9"/>
          <w:spacing w:val="0"/>
        </w:rPr>
        <w:t xml:space="preserve"> №</w:t>
      </w:r>
      <w:r>
        <w:rPr>
          <w:lang w:val="ru-RU" w:eastAsia="ru-RU" w:bidi="ru-RU"/>
          <w:w w:val="100"/>
          <w:spacing w:val="0"/>
          <w:color w:val="000000"/>
          <w:position w:val="0"/>
        </w:rPr>
        <w:t>04</w:t>
      </w:r>
      <w:r>
        <w:rPr>
          <w:rStyle w:val="CharStyle9"/>
          <w:spacing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>03</w:t>
      </w:r>
      <w:r>
        <w:rPr>
          <w:rStyle w:val="CharStyle9"/>
          <w:spacing w:val="0"/>
        </w:rPr>
        <w:t>-/^^</w:t>
      </w:r>
    </w:p>
    <w:p>
      <w:pPr>
        <w:pStyle w:val="Style5"/>
        <w:framePr w:w="4568" w:h="3619" w:wrap="around" w:vAnchor="text" w:hAnchor="margin" w:x="183" w:y="-74"/>
        <w:tabs>
          <w:tab w:leader="none" w:pos="2372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70" w:lineRule="exact"/>
        <w:ind w:left="500" w:right="0" w:firstLine="0"/>
      </w:pPr>
      <w:r>
        <w:rPr>
          <w:rStyle w:val="CharStyle6"/>
          <w:spacing w:val="0"/>
        </w:rPr>
        <w:t>На №</w:t>
        <w:tab/>
        <w:t>от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25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«МЕДИНГОФ» 410004 город Саратов, улица Набережная, д.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№22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86"/>
        <w:ind w:left="15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Телефон: 8 (8452) 659-978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"mailto:info@medmgof.ru"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info@medmgof.ru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ГУЗ «Забайкальский онкологический диспансер» 672010, Забайкальский край, г. Чита, ул. Ленинградская д. 104.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77" w:line="22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Телефон: (3022) 28-50-21 </w:t>
      </w:r>
      <w:r>
        <w:fldChar w:fldCharType="begin"/>
      </w:r>
      <w:r>
        <w:rPr>
          <w:color w:val="000000"/>
        </w:rPr>
        <w:instrText> HYPERLINK "mailto:info@guzkod.ru"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info@guzkod.ru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506" w:line="230" w:lineRule="exact"/>
        <w:ind w:left="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ГКУ «Забайкальский центр государственных закупок» г. Чита, ул. Амурская, 13 </w:t>
      </w:r>
      <w:r>
        <w:fldChar w:fldCharType="begin"/>
      </w:r>
      <w:r>
        <w:rPr>
          <w:color w:val="000000"/>
        </w:rPr>
        <w:instrText> HYPERLINK "mailto:zabgoszakup@goszak.e-zab.ru"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zabgoszakup@goszak.e-zab.ru</w:t>
      </w:r>
      <w:r>
        <w:fldChar w:fldCharType="end"/>
      </w:r>
    </w:p>
    <w:p>
      <w:pPr>
        <w:pStyle w:val="Style15"/>
        <w:widowControl w:val="0"/>
        <w:keepNext/>
        <w:keepLines/>
        <w:shd w:val="clear" w:color="auto" w:fill="auto"/>
        <w:bidi w:val="0"/>
        <w:spacing w:before="0" w:after="215"/>
        <w:ind w:left="36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рассмотрению жалобы № 075/06/33-2/2020 о нарушении законодательства при осуществлении закупки</w:t>
      </w:r>
      <w:bookmarkEnd w:id="0"/>
    </w:p>
    <w:p>
      <w:pPr>
        <w:pStyle w:val="Style17"/>
        <w:tabs>
          <w:tab w:leader="none" w:pos="6183" w:val="left"/>
        </w:tabs>
        <w:widowControl w:val="0"/>
        <w:keepNext w:val="0"/>
        <w:keepLines w:val="0"/>
        <w:shd w:val="clear" w:color="auto" w:fill="auto"/>
        <w:bidi w:val="0"/>
        <w:spacing w:before="0" w:after="211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 января 2020 года</w:t>
        <w:tab/>
        <w:t>г. Чита, ул. Лермонтова, 14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3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председателя комиссии Горбунова А.В., заместитель руководителя Забайкальского УФАС России; членов комиссии: Уваровой В.В. ведущего специалиста-эксперта отдела контроля закупок Забайкальского УФАС России, Московской И.Т., главного специалиста-эксперта отдела контроля закупок Забайкальского УФАС России;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3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поступившую 31.12.2019 (вх.№35 от 10.01.2020) жалобу ООО «МЕДИНГОФ»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заказчиком - ГУЗ «Забайкальский онкологический диспансер», уполномоченным учреждением - ГКУ «Забайкальский центр государственных закупок» при проведении электронного аукциона «Поставка лекарственных средств для проведения химиотерапии (14833-ЭА)» (реестровый № 0891200000619014289),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3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 представителя государственного заказчика - ГУЗ «Забайкальский краевой онкологический диспансер» Турбиной Е.А. (доверенность от 14.01.2020),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3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уполномоченного учреждения - ГКУ «Забайкальский центр государственных закупок» Клещёнок Е.Ю. (доверенность от 26.07.2019 № 10),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23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представителя заявителя (о времени и месте уведомлен надлежащим образом),</w:t>
      </w:r>
    </w:p>
    <w:p>
      <w:pPr>
        <w:pStyle w:val="Style15"/>
        <w:widowControl w:val="0"/>
        <w:keepNext/>
        <w:keepLines/>
        <w:shd w:val="clear" w:color="auto" w:fill="auto"/>
        <w:bidi w:val="0"/>
        <w:spacing w:before="0" w:after="206" w:line="220" w:lineRule="exact"/>
        <w:ind w:left="0" w:right="32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1"/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3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10.01.2020 в Забайкальское УФАС России поступила жалоба ООО «МЕДИНГОФ» о нарушение требований Закона о контрактной системе заказчиком - заказчиком - ГУЗ «Забайкальский онкологический диспансер», уполномоченным учреждением - ГКУ «Забайкальский центр государственных закупок» при проведении электронного аукциона на</w:t>
      </w:r>
      <w:r>
        <w:br w:type="page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поставку лекарственных средств для проведения химиотерапии (14833-ЭА)» (реестровый № 0891200000619014289).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жалобе заявителя, заказчиком в документации о закупке указан к поставке препарат «Оксалиплатин» в дозировке 150 мг.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в нарушение части 5 статьи 33 Закона о контрактной системе и пункта «б» части 2 Постановления Правительства от 15.11.2017 №1380 заказчиком в документации о закупке не предусмотрена возможность поставки данного препарата в иной дозировке в рамках общего количества товара.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просит признать жалобу на положения аукционной документации (извещение № 0891200000619014289) обоснованной, обязать заказчика внести изменения в аукционную документацию, включив в описание объекта закупки возможность поставки двойной дозировки.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заказчика с позицией заявителя не согласилась и считает жалобу необоснованной.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уполномоченного органа с доводами заявителя не согласилась и поддержала позицию государственного заказчика.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осуществления закупки. В ходе проверки установлено следующее.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20.12.2019 уполномоченным учреждением - ГКУ «Забайкальский центр государственных закупок» на официальном сайте ЕИС размещены извещение и документация аукциона о проведении аукциона в электронной форме на поставку лекарственных средств для проведения химиотерапии (14833-ЭА)» (реестровый № 0891200000619014289)/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составляет 1 551 964,80 руб.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окончания срока рассмотрения первых частей заявок участников 09.01.2020 07:00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проведения аукциона в электронной форме 13.01.2020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рассмотрения заявок от 09.01.2020 на участие в электронном аукционе подано 5 заявок, 2 заявки отклонены, как не соответствующие закону о контрактной системе и аукционной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представленные документы, заслушав представителей сторон, Комиссия приходит к следующим выводам.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смысла закона следует, что заказчик обязан указывать в аукционной документации такие требования, которые в наибольшей мере соответствуют его потребностям и являются существенными.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императивных требований пункта 6 части 1 статьи 33 Закона о контрактной системе,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химические, группировочные наименования, если объектом закупки являются лекарственные средства.</w:t>
      </w:r>
    </w:p>
    <w:p>
      <w:pPr>
        <w:pStyle w:val="Style20"/>
        <w:framePr w:w="10321" w:wrap="notBeside" w:vAnchor="text" w:hAnchor="text" w:xAlign="center" w:y="1"/>
        <w:tabs>
          <w:tab w:leader="underscore" w:pos="5087" w:val="left"/>
          <w:tab w:leader="underscore" w:pos="6311" w:val="left"/>
          <w:tab w:leader="underscore" w:pos="10249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Так, согласно п. 21 аукционной документации предметом аукциона является поставка </w:t>
      </w:r>
      <w:r>
        <w:rPr>
          <w:rStyle w:val="CharStyle22"/>
        </w:rPr>
        <w:t>следующего лекарственного препарата: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ab/>
        <w:tab/>
      </w:r>
    </w:p>
    <w:tbl>
      <w:tblPr>
        <w:tblOverlap w:val="never"/>
        <w:tblLayout w:type="fixed"/>
        <w:jc w:val="center"/>
      </w:tblPr>
      <w:tblGrid>
        <w:gridCol w:w="1174"/>
        <w:gridCol w:w="2412"/>
        <w:gridCol w:w="1523"/>
        <w:gridCol w:w="1224"/>
        <w:gridCol w:w="3989"/>
      </w:tblGrid>
      <w:tr>
        <w:trPr>
          <w:trHeight w:val="34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7"/>
              <w:framePr w:w="1032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60" w:right="0" w:firstLine="0"/>
            </w:pPr>
            <w:r>
              <w:rPr>
                <w:rStyle w:val="CharStyle23"/>
              </w:rPr>
              <w:t>№п/п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7"/>
              <w:framePr w:w="1032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40" w:right="0" w:firstLine="0"/>
            </w:pPr>
            <w:r>
              <w:rPr>
                <w:rStyle w:val="CharStyle23"/>
              </w:rPr>
              <w:t>Наименование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7"/>
              <w:framePr w:w="1032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40" w:right="0" w:firstLine="0"/>
            </w:pPr>
            <w:r>
              <w:rPr>
                <w:rStyle w:val="CharStyle23"/>
              </w:rPr>
              <w:t>Количество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7"/>
              <w:framePr w:w="1032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60" w:right="0" w:firstLine="0"/>
            </w:pPr>
            <w:r>
              <w:rPr>
                <w:rStyle w:val="CharStyle23"/>
              </w:rPr>
              <w:t>ед. изм.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7"/>
              <w:framePr w:w="1032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760" w:right="0" w:firstLine="0"/>
            </w:pPr>
            <w:r>
              <w:rPr>
                <w:rStyle w:val="CharStyle23"/>
              </w:rPr>
              <w:t>Характеристики</w:t>
            </w:r>
          </w:p>
        </w:tc>
      </w:tr>
      <w:tr>
        <w:trPr>
          <w:trHeight w:val="1562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7"/>
              <w:framePr w:w="1032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800" w:right="0" w:firstLine="0"/>
            </w:pPr>
            <w:r>
              <w:rPr>
                <w:rStyle w:val="CharStyle23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7"/>
              <w:framePr w:w="1032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40" w:right="0" w:firstLine="0"/>
            </w:pPr>
            <w:r>
              <w:rPr>
                <w:rStyle w:val="CharStyle23"/>
              </w:rPr>
              <w:t>ОКСАЛИПЛАТИН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7"/>
              <w:framePr w:w="1032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40" w:right="0" w:firstLine="0"/>
            </w:pPr>
            <w:r>
              <w:rPr>
                <w:rStyle w:val="CharStyle23"/>
              </w:rPr>
              <w:t>240.00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7"/>
              <w:framePr w:w="1032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60" w:right="0" w:firstLine="0"/>
            </w:pPr>
            <w:r>
              <w:rPr>
                <w:rStyle w:val="CharStyle23"/>
              </w:rPr>
              <w:t>штук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7"/>
              <w:framePr w:w="1032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52" w:lineRule="exact"/>
              <w:ind w:left="0" w:right="0" w:firstLine="0"/>
            </w:pPr>
            <w:r>
              <w:rPr>
                <w:rStyle w:val="CharStyle23"/>
              </w:rPr>
              <w:t>лиофилизат для приготовления раствора для инфузий или лиофилизат для приготовления концентрата для приготовления раствора для инфузий или концентрат для приготовления раствора для инфузий 150 мг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20"/>
        <w:framePr w:w="10246" w:wrap="notBeside" w:vAnchor="text" w:hAnchor="text" w:xAlign="center" w:y="1"/>
        <w:tabs>
          <w:tab w:leader="underscore" w:pos="4198" w:val="left"/>
          <w:tab w:leader="underscore" w:pos="102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Доводы заявителя о взаимозаменяемости требуемого к поставке препарата при проведении лечения пациентов ГУЗ «Забайкальский краевой онкологический диспансер» </w:t>
      </w:r>
      <w:r>
        <w:rPr>
          <w:rStyle w:val="CharStyle22"/>
        </w:rPr>
        <w:t>препаратами: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ab/>
      </w:r>
    </w:p>
    <w:tbl>
      <w:tblPr>
        <w:tblOverlap w:val="never"/>
        <w:tblLayout w:type="fixed"/>
        <w:jc w:val="center"/>
      </w:tblPr>
      <w:tblGrid>
        <w:gridCol w:w="670"/>
        <w:gridCol w:w="3553"/>
        <w:gridCol w:w="6023"/>
      </w:tblGrid>
      <w:tr>
        <w:trPr>
          <w:trHeight w:val="62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7"/>
              <w:framePr w:w="1024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60" w:right="0" w:firstLine="0"/>
            </w:pPr>
            <w:r>
              <w:rPr>
                <w:rStyle w:val="CharStyle23"/>
              </w:rPr>
              <w:t>№ 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7"/>
              <w:framePr w:w="1024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60" w:right="0" w:firstLine="0"/>
            </w:pPr>
            <w:r>
              <w:rPr>
                <w:rStyle w:val="CharStyle23"/>
              </w:rPr>
              <w:t>Наименование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7"/>
              <w:framePr w:w="1024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23"/>
              </w:rPr>
              <w:t>Характеристики</w:t>
            </w:r>
          </w:p>
        </w:tc>
      </w:tr>
      <w:tr>
        <w:trPr>
          <w:trHeight w:val="5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7"/>
              <w:framePr w:w="1024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60" w:right="0" w:firstLine="0"/>
            </w:pPr>
            <w:r>
              <w:rPr>
                <w:rStyle w:val="CharStyle23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7"/>
              <w:framePr w:w="1024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60" w:right="0" w:firstLine="0"/>
            </w:pPr>
            <w:r>
              <w:rPr>
                <w:rStyle w:val="CharStyle23"/>
              </w:rPr>
              <w:t>Оксалиплатин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7"/>
              <w:framePr w:w="1024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52" w:lineRule="exact"/>
              <w:ind w:left="0" w:right="0" w:firstLine="0"/>
            </w:pPr>
            <w:r>
              <w:rPr>
                <w:rStyle w:val="CharStyle23"/>
              </w:rPr>
              <w:t>концентрат для приготовления раствора для инфузий 2 мг/мл, 50 мл</w:t>
            </w:r>
          </w:p>
        </w:tc>
      </w:tr>
      <w:tr>
        <w:trPr>
          <w:trHeight w:val="616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7"/>
              <w:framePr w:w="1024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60" w:right="0" w:firstLine="0"/>
            </w:pPr>
            <w:r>
              <w:rPr>
                <w:rStyle w:val="CharStyle23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7"/>
              <w:framePr w:w="1024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60" w:right="0" w:firstLine="0"/>
            </w:pPr>
            <w:r>
              <w:rPr>
                <w:rStyle w:val="CharStyle23"/>
              </w:rPr>
              <w:t>Оксалиплатин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7"/>
              <w:framePr w:w="1024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56" w:lineRule="exact"/>
              <w:ind w:left="0" w:right="0" w:firstLine="0"/>
            </w:pPr>
            <w:r>
              <w:rPr>
                <w:rStyle w:val="CharStyle23"/>
              </w:rPr>
              <w:t>концентрат для приготовления раствора для инфузий 2 мг/мл, 25 мл</w:t>
            </w:r>
          </w:p>
        </w:tc>
      </w:tr>
    </w:tbl>
    <w:p>
      <w:pPr>
        <w:pStyle w:val="Style20"/>
        <w:framePr w:w="10246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только из-за аналогичного количества активного вещества при разных объемах действующего вещества препарата и в разных упаковках являются необоснованными в силу следующего:</w:t>
      </w:r>
    </w:p>
    <w:p>
      <w:pPr>
        <w:widowControl w:val="0"/>
        <w:rPr>
          <w:sz w:val="2"/>
          <w:szCs w:val="2"/>
        </w:rPr>
      </w:pP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1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пункту 5.1 статьи 4 Федерального закона от 12 апреля 2010 года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61-ФЗ "Об обращении лекарственных средств" дозировка - содержание одного или нескольких действующих веществ в количественном выражении на единицу дозы, или единицу объема, или единицу массы в соответствии с лекарственной формой либо для некоторых видов лекарственных форм количество высвобождаемого из лекарственной формы действующего вещества за единицу времени.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1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1, пунктом 2 части 2 статьи 13, частью 1 статьи 33 данного Федерального закона лекарственные препараты вводятся в гражданский оборот на территории Российской Федерации, если они зарегистрированы соответствующим уполномоченным федеральным органом исполнительной власти. Лекарственные препараты, зарегистрированные ранее, но произведенные в новой дозировке при доказательстве ее клинической значимости и эффективности подлежат государственной регистрации. Перечень лекарственных препаратов, прошедших государственную регистрацию, содержится в Реестре, который включает, в том числе, информацию о МНН и торговых наименованиях (далее -ТН) лекарственных препаратов, их лекарственной форме с указанием дозировки.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1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Статьями 18, 27 Федерального закона от 12 апреля 2010 года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61-ФЗ установлено, что для государственной регистрации лекарственного препарата разработчик лекарственного препарата или уполномоченное им другое юридическое лицо представляет в соответствующий уполномоченный федеральный орган исполнительной власти, осуществляющий государственную регистрацию лекарственных препаратов, заявление о государственной регистрации лекарственного препарата, в котором, в том числе, указывается дозировка лекарственного препарата и показания к его применению. После проведения проверки полноты и достоверности сведений, содержащихся в представленных заявителем материалах, и необходимых экспертиз в порядке, установленном статьями 19-26 Федерального закона от 12 апреля 2010 года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61-ФЗ, указанный орган принимает решение о государственной регистрации лекарственного препарата или об отказе в государственной регистрации лекарственного препарата.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1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части 1 статьи 33 данного Федерального закона указанные сведения о зарегистрированных лекарственных препаратах вносятся в Реестр.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1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Частью 1 статьи 67 Федерального закона от 12 апреля 2010 года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61-ФЗ также установлено, что информация о лекарственных препаратах для специалистов в области обращения лекарственных средств может содержаться, в том числе, в инструкциях по применению лекарственных препаратов.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Анализ перечисленных положений показывает, что наличие инструкции по применению лекарственного препарата, содержащей указанные сведения, является обязательным для возможности его применения на территории Российской Федерации, и при проведении закупок заказчик обязан руководствоваться данными сведениями, содержащимися в Реестре.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Первичным законодательным актом Российской Федерации в сфере охраны здоровья граждан, в целях исполнения которого осуществляются государственные закупки лекарственных средств, является Федеральный закон от 21 ноября 2011 года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323-ФЗ "Об основах охраны здоровья граждан в Российской Федерации", согласно части 2 статьи 3 которого нормы об охране здоровья, содержащиеся в других федеральных законах, иных нормативных правовых актах Российской Федерации, законах и иных нормативных правовых актах субъектов Российской Федерации, не должны противоречить нормам настоящего Федерального закона.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2 статьи 4 данного Федерального закона установлено, что одним из основных принципов охраны здоровья является приоритет интересов пациента при оказании медицинской помощи.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Частью 2 статьи 98 Федерального закона от 21 ноября 2011 года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323-ФЗ предусмотрена ответственность медицинских работников в соответствии с законодательством Российской Федерации за нарушение прав в сфере охраны здоровья, причинение вреда жизни и (или) здоровью при оказании гражданам медицинской помощи.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Учитывая, что лекарственные препараты оказывают непосредственное влияние на здоровье и жизнь человека, при установлении конкретных требований к предмету закупок на поставку лекарственных средств, главным является достижение при лечении пациентов наилучшего терапевтического эффекта и максимальное исключение любых нежелательных реакций.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Дозировка оксалиплатина 150 мг является одной из наиболее востребованных в стандартных схемах химиотерапии (85 мг/м2 1 раз в 2 недели).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инструкции по применению препарата оксалиплатин с активным действующим веществом 150 мг последовательность приготовления инфузионного раствора препарата обязательно включает следующие этапы: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растворение лиофилизата. Для этого во флакон вводят количество растворителя, достаточное для получения раствора в концентрации 5мг/мл;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10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приготовление инфузионного раствора (непосредственно после растворения). Растворенный препарат разбавляют 5% раствором декстрозы до получения 250-500 мл раствора с концентрацией не менее 0,2 мг/мл.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использовании препарата должны соблюдаться все инструкции, принятые для применения цитотоксических препаратов.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 двухэтапность приготовления раствора препарата, использование сочетания меньших дозировок лиофилизата для получения одной порции инфузионного раствора является невозможным.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 пояснила представитель заказчика, ни в одной из действующих инструкций по применению препаратов оксалиплатин с дозировками 100 мг и 50 мг не предусмотрено получение требуемой дозировки в 150 мг путем соединения двух различных самостоятельных лекарственных препаратов в один, таким образом, приготовление лекарственного препарата способом, не урегулированным официальными инструкциями по применения препаратов, является неправомерным и не может быть осуществлено в медицинских организациях.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п. 3 ст. 4 Федерального закона от 26.07.2006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135-ФЗ "О защите конкуренции" взаимозаменяемые товары - товары, которые могут быть сравнимы по их функциональному назначению, применению, качественным и техническим характеристикам, цене и другим параметрам таким образом, что приобретатель действительно заменяет или готов заменить один товар другим при потреблении (в том числе при потреблении в производственных целях).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Замена лекарственного препарата по необоснованным основаниям кратности дозировок не отвечает ни принципам надлежащего оказания медицинских услуг, ни потребностям пациентов, ни целям закупки и принципам Федерального закона о контрактной системе.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об эквивалентности лекарственных препаратов, имеющих одинаковое МНН, несостоятелен, т.к. согласно п. 12.3 ст.4 Федерального закона №61-ФЗ «Об обращении лекарственных средств»: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взаимозаменяемый лекарственный препарат - лекарственный препарат с доказанной терапевтической эквивалентностью или биоэквивалентностью в отношении референтного лекарственного препарата, имеющий эквивалентные ему качественный состав и количественный состав действующих веществ, состав вспомогательных веществ, лекарственную форму и способ введения.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Федеральный закон №61-ФЗ устанавливает в статье 27.1 порядок определения взаимозаменяемости лекарственных препаратов для медицинского применения, а именно:</w:t>
      </w:r>
    </w:p>
    <w:p>
      <w:pPr>
        <w:pStyle w:val="Style17"/>
        <w:tabs>
          <w:tab w:leader="none" w:pos="3163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Взаимозаменяемость</w:t>
        <w:tab/>
        <w:t>лекарственных препаратов для медицинского применения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определяется в порядке, установленном Правительством Российской Федерации, на основании следующих параметров: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эквивалентность (для биоаналоговых (биоподобных) лекарственных препаратов (биоаналогов) - сопоставимость) качественных и количественных характеристик..;</w:t>
      </w:r>
    </w:p>
    <w:p>
      <w:pPr>
        <w:pStyle w:val="Style17"/>
        <w:numPr>
          <w:ilvl w:val="0"/>
          <w:numId w:val="1"/>
        </w:numPr>
        <w:tabs>
          <w:tab w:leader="none" w:pos="10240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эквивалентность лекарственной формы (под эквивалентными лекарственными формами понимаются разные лекарственные формы, имеющие одинаковые способ введения и способ применения, обладающие сопоставимыми</w:t>
        <w:tab/>
        <w:t>фармакокинетическими характеристиками и фармакологическим действием и обеспечивающие также достижение необходимого клинического эффекта...;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эквивалентность или сопоставимость состава вспомогательных веществ лекарственного препарата для медицинского применения...;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идентичность способа введения и применения;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отсутствие клинически значимых различий при проведении исследования биоэквивалентности лекарственного препарата...;</w:t>
      </w:r>
    </w:p>
    <w:p>
      <w:pPr>
        <w:pStyle w:val="Style17"/>
        <w:numPr>
          <w:ilvl w:val="0"/>
          <w:numId w:val="1"/>
        </w:numPr>
        <w:tabs>
          <w:tab w:leader="none" w:pos="3350" w:val="center"/>
          <w:tab w:leader="none" w:pos="4243" w:val="left"/>
          <w:tab w:leader="none" w:pos="10240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соответствие</w:t>
        <w:tab/>
        <w:t>производителя</w:t>
        <w:tab/>
        <w:t>лекарственного средства</w:t>
        <w:tab/>
        <w:t>требованиям надлежащей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производственной практики.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Определение взаимозаменяемости лекарственных препаратов для медицинского применения в рамках реализации статьи 27.1 Закона об обращении лекарственных средств осуществляется уполномоченным федеральным органом исполнительной власти в целях включения информации о взаимозаменяемости лекарственных препаратов для медицинского применения в государственный реестр лекарственных средств с 1 января 2018 года.</w:t>
      </w:r>
    </w:p>
    <w:p>
      <w:pPr>
        <w:pStyle w:val="Style17"/>
        <w:tabs>
          <w:tab w:leader="none" w:pos="3350" w:val="center"/>
          <w:tab w:leader="none" w:pos="4243" w:val="left"/>
          <w:tab w:leader="none" w:pos="10240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</w:t>
        <w:tab/>
        <w:t>с частью 1</w:t>
        <w:tab/>
        <w:t>статьи 27.1 названного</w:t>
        <w:tab/>
        <w:t>закона взаимозаменяемость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лекарственных препаратов для медицинского применения определяется в порядке, установленном Правительством Российской Федерации, на основании приведенных в этой части параметров.</w:t>
      </w:r>
    </w:p>
    <w:p>
      <w:pPr>
        <w:pStyle w:val="Style17"/>
        <w:tabs>
          <w:tab w:leader="none" w:pos="549" w:val="left"/>
          <w:tab w:leader="none" w:pos="3350" w:val="center"/>
          <w:tab w:leader="none" w:pos="4243" w:val="left"/>
          <w:tab w:leader="none" w:pos="10240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2 указанной статьи предусмотрено, что сравнение параметров регистрируемых лекарственных препаратов для медицинского применения осуществляется комиссией экспертов экспертного учреждения при проведении экспертизы таких лекарственных препаратов в процессе их</w:t>
        <w:tab/>
        <w:t>государственной</w:t>
        <w:tab/>
        <w:t>регистрации.</w:t>
        <w:tab/>
        <w:t>Выводы экспертов о</w:t>
        <w:tab/>
        <w:t>взаимозаменяемости или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невзаимозаменяемости лекарственных препаратов для медицинского применения, сделанные в результате этого сравнения, оформляются в виде приложения к заключению экспертов по форме, утвержденной уполномоченным федеральным органом исполнительной власти.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Во исполнение предписания федерального законодателя постановлением Правительства Российской Федерации от 28 октября 2015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1154 утверждены Правила.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3 Правил взаимозаменяемость лекарственного препарата определяется в процессе его государственной регистрации на основании сравнения с референтным лекарственным препаратом по параметрам, указанным в части 1 статьи 27.1 Закона об обращении лекарственных средств, при проведении в установленном порядке комиссией экспертов федерального государственного бюджетного учреждения по проведению экспертизы лекарственных средств, находящегося в ведении Минздрава России, экспертизы лекарственного препарата в части экспертизы качества лекарственного средства и (или) экспертизы отношения ожидаемой пользы к возможному риску применения лекарственного препарата.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Вывод о взаимозаменяемости (невзаимозаменяемости) лекарственного препарата оформляется в виде приложения к заключению комиссии экспертов, указанной в пункте 3 Правил, по форме, утверждаемой Минздравом России (пункт 6 Правил).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вывод о взаимозаменяемости (невзаимозаменяемости) лекарственного препарата для медицинского применения может быть сделан лишь комиссией экспертов экспертного учреждения, находящегося в ведении Минздрава России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данным ГРЛС на сегодняшний день сведения и заключения комиссии экспертов о взаимозаменяемости препарата МНН Оксалиплатин в дозировках 50 мг+100 мг дозировке 150 мг отсутствуют.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Участником аукциона может стать любое лицо, предлагающее к поставке лекарственные средства, соответствующие требованиям аукционной документации, установленным исходя из потребностей заказчиков. Количество таких участников не ограничено.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согласно сведений государственного реестра лекарственных средств зарегистрировано не менее 5 разных производителей (ЛП-004316 -Россия, ЛП-001567Аргентина, ЛСР - 004116/09 Россия, ЛСР-006188/08 Германия, ЛП- 003758- Россия указанного лекарственного препарата, что свидетельствует об отсутствие ограничения конкуренции со стороны заказчика.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участие в данном аукционе подано 5 заявок, 3 заявки признаны соответствующими требованиям аукционной документации, 2 заявки отклонены.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Заказчику предоставлены полномочия по самостоятельному определению параметров и характеристик товара, удовлетворяющих его потребностям, которые отражают специфику его деятельности и обеспечивают эффективное расходование бюджетных средств (Определение Верховного суда Российской Федерации от 21.06.2017 года №310-КГ-1939).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86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изложенного, руководствуясь Постановлением Правительства Российской Федерации от 26 августа 2013 года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99, Закона о контрактной системе, административным регламентом (утв. приказом ФАС России от 19.11.2014 №727/14) комиссия,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241" w:line="220" w:lineRule="exact"/>
        <w:ind w:left="474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РЕШИЛА: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498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Жалобу ООО «МЕДИНГОФ» признать необоснованной.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521" w:line="281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Арбитражный суд Забайкальского края в течение трех месяцев со дня его принятия.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39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030" w:left="664" w:right="639" w:bottom="103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5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character" w:customStyle="1" w:styleId="CharStyle6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4"/>
    </w:rPr>
  </w:style>
  <w:style w:type="character" w:customStyle="1" w:styleId="CharStyle8">
    <w:name w:val="Основной текст (6) Exact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5"/>
    </w:rPr>
  </w:style>
  <w:style w:type="character" w:customStyle="1" w:styleId="CharStyle9">
    <w:name w:val="Основной текст (6) + Интервал 0 pt Exact"/>
    <w:basedOn w:val="CharStyle8"/>
    <w:rPr>
      <w:lang w:val="ru-RU" w:eastAsia="ru-RU" w:bidi="ru-RU"/>
      <w:w w:val="100"/>
      <w:spacing w:val="4"/>
      <w:color w:val="000000"/>
      <w:position w:val="0"/>
    </w:rPr>
  </w:style>
  <w:style w:type="character" w:customStyle="1" w:styleId="CharStyle11">
    <w:name w:val="Основной текст (2)_"/>
    <w:basedOn w:val="DefaultParagraphFont"/>
    <w:link w:val="Style10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2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6">
    <w:name w:val="Заголовок №1_"/>
    <w:basedOn w:val="DefaultParagraphFont"/>
    <w:link w:val="Style1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8">
    <w:name w:val="Основной текст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9">
    <w:name w:val="Основной текст (5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1">
    <w:name w:val="Подпись к таблице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2">
    <w:name w:val="Подпись к таблице"/>
    <w:basedOn w:val="CharStyle2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3">
    <w:name w:val="Основной текст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5">
    <w:name w:val="Основной текст (7)_"/>
    <w:basedOn w:val="DefaultParagraphFont"/>
    <w:link w:val="Style24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50"/>
    </w:rPr>
  </w:style>
  <w:style w:type="paragraph" w:customStyle="1" w:styleId="Style3">
    <w:name w:val="Основной текст (5)"/>
    <w:basedOn w:val="Normal"/>
    <w:link w:val="CharStyle19"/>
    <w:pPr>
      <w:widowControl w:val="0"/>
      <w:shd w:val="clear" w:color="auto" w:fill="FFFFFF"/>
      <w:jc w:val="center"/>
      <w:spacing w:after="240" w:line="32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12"/>
    <w:pPr>
      <w:widowControl w:val="0"/>
      <w:shd w:val="clear" w:color="auto" w:fill="FFFFFF"/>
      <w:jc w:val="right"/>
      <w:spacing w:line="234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7">
    <w:name w:val="Основной текст (6)"/>
    <w:basedOn w:val="Normal"/>
    <w:link w:val="CharStyle8"/>
    <w:pPr>
      <w:widowControl w:val="0"/>
      <w:shd w:val="clear" w:color="auto" w:fill="FFFFFF"/>
      <w:spacing w:before="180" w:after="60"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5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jc w:val="right"/>
      <w:spacing w:before="300" w:line="234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right"/>
      <w:spacing w:line="234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jc w:val="center"/>
      <w:outlineLvl w:val="0"/>
      <w:spacing w:before="540" w:after="180"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FFFFFF"/>
      <w:jc w:val="both"/>
      <w:spacing w:before="180" w:after="3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0">
    <w:name w:val="Подпись к таблице"/>
    <w:basedOn w:val="Normal"/>
    <w:link w:val="CharStyle21"/>
    <w:pPr>
      <w:widowControl w:val="0"/>
      <w:shd w:val="clear" w:color="auto" w:fill="FFFFFF"/>
      <w:spacing w:line="284" w:lineRule="exact"/>
      <w:ind w:firstLine="700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4">
    <w:name w:val="Основной текст (7)"/>
    <w:basedOn w:val="Normal"/>
    <w:link w:val="CharStyle25"/>
    <w:pPr>
      <w:widowControl w:val="0"/>
      <w:shd w:val="clear" w:color="auto" w:fill="FFFFFF"/>
      <w:spacing w:before="240" w:after="30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5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