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4559" w:y="2349"/>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Ю</w:t>
      </w:r>
    </w:p>
    <w:p>
      <w:pPr>
        <w:widowControl w:val="0"/>
        <w:rPr>
          <w:sz w:val="2"/>
          <w:szCs w:val="2"/>
        </w:rPr>
      </w:pPr>
    </w:p>
    <w:p>
      <w:pPr>
        <w:pStyle w:val="Style5"/>
        <w:widowControl w:val="0"/>
        <w:keepNext/>
        <w:keepLines/>
        <w:shd w:val="clear" w:color="auto" w:fill="auto"/>
        <w:bidi w:val="0"/>
        <w:spacing w:before="0" w:after="429" w:line="500" w:lineRule="exact"/>
        <w:ind w:left="0" w:right="160" w:firstLine="0"/>
      </w:pPr>
      <w:bookmarkStart w:id="0" w:name="bookmark0"/>
      <w:r>
        <w:rPr>
          <w:w w:val="100"/>
          <w:spacing w:val="0"/>
          <w:color w:val="000000"/>
          <w:position w:val="0"/>
        </w:rPr>
        <w:t>fillip,</w:t>
      </w:r>
      <w:bookmarkEnd w:id="0"/>
    </w:p>
    <w:p>
      <w:pPr>
        <w:pStyle w:val="Style7"/>
        <w:widowControl w:val="0"/>
        <w:keepNext w:val="0"/>
        <w:keepLines w:val="0"/>
        <w:shd w:val="clear" w:color="auto" w:fill="auto"/>
        <w:bidi w:val="0"/>
        <w:spacing w:before="0" w:after="120"/>
        <w:ind w:left="0" w:right="2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0"/>
        <w:ind w:left="0" w:right="20" w:firstLine="0"/>
      </w:pPr>
      <w:r>
        <w:rPr>
          <w:rStyle w:val="CharStyle11"/>
        </w:rPr>
        <w:t xml:space="preserve">УПРАВЛЕНИЕ </w:t>
      </w:r>
      <w:r>
        <w:rPr>
          <w:lang w:val="ru-RU" w:eastAsia="ru-RU" w:bidi="ru-RU"/>
          <w:w w:val="100"/>
          <w:spacing w:val="0"/>
          <w:color w:val="000000"/>
          <w:position w:val="0"/>
        </w:rPr>
        <w:t>Федеральной антимонопольной службы по Республике Крым и городу Севастопол</w:t>
      </w:r>
    </w:p>
    <w:p>
      <w:pPr>
        <w:pStyle w:val="Style12"/>
        <w:widowControl w:val="0"/>
        <w:keepNext w:val="0"/>
        <w:keepLines w:val="0"/>
        <w:shd w:val="clear" w:color="auto" w:fill="auto"/>
        <w:bidi w:val="0"/>
        <w:spacing w:before="0" w:after="59" w:line="230" w:lineRule="exact"/>
        <w:ind w:left="0" w:right="20" w:firstLine="0"/>
      </w:pPr>
      <w:r>
        <w:rPr>
          <w:lang w:val="ru-RU" w:eastAsia="ru-RU" w:bidi="ru-RU"/>
          <w:w w:val="100"/>
          <w:spacing w:val="0"/>
          <w:color w:val="000000"/>
          <w:position w:val="0"/>
        </w:rPr>
        <w:t>(Крымское У ФАС России)</w:t>
      </w:r>
    </w:p>
    <w:p>
      <w:pPr>
        <w:pStyle w:val="Style7"/>
        <w:widowControl w:val="0"/>
        <w:keepNext w:val="0"/>
        <w:keepLines w:val="0"/>
        <w:shd w:val="clear" w:color="auto" w:fill="auto"/>
        <w:bidi w:val="0"/>
        <w:spacing w:before="0" w:after="0" w:line="238" w:lineRule="exact"/>
        <w:ind w:left="0" w:right="20" w:firstLine="0"/>
      </w:pPr>
      <w:r>
        <w:rPr>
          <w:lang w:val="ru-RU" w:eastAsia="ru-RU" w:bidi="ru-RU"/>
          <w:w w:val="100"/>
          <w:spacing w:val="0"/>
          <w:color w:val="000000"/>
          <w:position w:val="0"/>
        </w:rPr>
        <w:t>ул. Александра Невского, д. 1, г. Симферополь, Республика Крым, 295000 —- (3652) 54-46-38, ' факс (3652) 25-24-31</w:t>
      </w:r>
    </w:p>
    <w:p>
      <w:pPr>
        <w:pStyle w:val="Style7"/>
        <w:widowControl w:val="0"/>
        <w:keepNext w:val="0"/>
        <w:keepLines w:val="0"/>
        <w:shd w:val="clear" w:color="auto" w:fill="auto"/>
        <w:bidi w:val="0"/>
        <w:jc w:val="left"/>
        <w:spacing w:before="0" w:after="0" w:line="238" w:lineRule="exact"/>
        <w:ind w:left="1980" w:right="0" w:firstLine="0"/>
      </w:pPr>
      <w:r>
        <w:rPr>
          <w:lang w:val="ru-RU" w:eastAsia="ru-RU" w:bidi="ru-RU"/>
          <w:w w:val="100"/>
          <w:spacing w:val="0"/>
          <w:color w:val="000000"/>
          <w:position w:val="0"/>
        </w:rPr>
        <w:t xml:space="preserve">' </w:t>
      </w:r>
      <w:r>
        <w:rPr>
          <w:lang w:val="en-US" w:eastAsia="en-US" w:bidi="en-US"/>
          <w:w w:val="100"/>
          <w:spacing w:val="0"/>
          <w:color w:val="000000"/>
          <w:position w:val="0"/>
        </w:rPr>
        <w:t>tt</w:t>
      </w:r>
      <w:r>
        <w:rPr>
          <w:rStyle w:val="CharStyle14"/>
        </w:rPr>
        <w:t>p ://www. krym.fas- g</w:t>
      </w:r>
      <w:r>
        <w:rPr>
          <w:lang w:val="en-US" w:eastAsia="en-US" w:bidi="en-US"/>
          <w:w w:val="100"/>
          <w:spacing w:val="0"/>
          <w:color w:val="000000"/>
          <w:position w:val="0"/>
        </w:rPr>
        <w:t xml:space="preserve">ov, </w:t>
      </w:r>
      <w:r>
        <w:rPr>
          <w:lang w:val="ru-RU" w:eastAsia="ru-RU" w:bidi="ru-RU"/>
          <w:w w:val="100"/>
          <w:spacing w:val="0"/>
          <w:color w:val="000000"/>
          <w:position w:val="0"/>
        </w:rPr>
        <w:t>ш</w:t>
      </w:r>
    </w:p>
    <w:p>
      <w:pPr>
        <w:pStyle w:val="Style7"/>
        <w:widowControl w:val="0"/>
        <w:keepNext w:val="0"/>
        <w:keepLines w:val="0"/>
        <w:shd w:val="clear" w:color="auto" w:fill="auto"/>
        <w:bidi w:val="0"/>
        <w:jc w:val="left"/>
        <w:spacing w:before="0" w:after="0" w:line="200" w:lineRule="exact"/>
        <w:ind w:left="400" w:right="0" w:firstLine="0"/>
      </w:pPr>
      <w:r>
        <w:rPr>
          <w:lang w:val="en-US" w:eastAsia="en-US" w:bidi="en-US"/>
          <w:w w:val="100"/>
          <w:spacing w:val="0"/>
          <w:color w:val="000000"/>
          <w:position w:val="0"/>
        </w:rPr>
        <w:t>K2§</w:t>
      </w:r>
      <w:r>
        <w:fldChar w:fldCharType="begin"/>
      </w:r>
      <w:r>
        <w:rPr>
          <w:color w:val="000000"/>
        </w:rPr>
        <w:instrText> HYPERLINK "mailto:2@fas.eov" </w:instrText>
      </w:r>
      <w:r>
        <w:fldChar w:fldCharType="separate"/>
      </w:r>
      <w:r>
        <w:rPr>
          <w:rStyle w:val="Hyperlink"/>
          <w:lang w:val="en-US" w:eastAsia="en-US" w:bidi="en-US"/>
          <w:w w:val="100"/>
          <w:spacing w:val="0"/>
          <w:position w:val="0"/>
        </w:rPr>
        <w:t>2@fas.eov</w:t>
      </w:r>
      <w:r>
        <w:fldChar w:fldCharType="end"/>
      </w:r>
      <w:r>
        <w:rPr>
          <w:lang w:val="en-US" w:eastAsia="en-US" w:bidi="en-US"/>
          <w:w w:val="100"/>
          <w:spacing w:val="0"/>
          <w:color w:val="000000"/>
          <w:position w:val="0"/>
        </w:rPr>
        <w:t>.</w:t>
      </w:r>
    </w:p>
    <w:p>
      <w:pPr>
        <w:pStyle w:val="Style15"/>
        <w:widowControl w:val="0"/>
        <w:keepNext w:val="0"/>
        <w:keepLines w:val="0"/>
        <w:shd w:val="clear" w:color="auto" w:fill="auto"/>
        <w:bidi w:val="0"/>
        <w:jc w:val="left"/>
        <w:spacing w:before="0" w:after="0" w:line="260" w:lineRule="exact"/>
        <w:ind w:left="20" w:right="0" w:firstLine="0"/>
      </w:pPr>
      <w:r>
        <w:rPr>
          <w:rStyle w:val="CharStyle17"/>
          <w:b/>
          <w:bCs/>
        </w:rPr>
        <w:t>ЗАКАЗЧИК:</w:t>
      </w:r>
    </w:p>
    <w:p>
      <w:pPr>
        <w:pStyle w:val="Style15"/>
        <w:widowControl w:val="0"/>
        <w:keepNext w:val="0"/>
        <w:keepLines w:val="0"/>
        <w:shd w:val="clear" w:color="auto" w:fill="auto"/>
        <w:bidi w:val="0"/>
        <w:jc w:val="left"/>
        <w:spacing w:before="0" w:after="0" w:line="367" w:lineRule="exact"/>
        <w:ind w:left="20" w:right="40" w:firstLine="0"/>
      </w:pPr>
      <w:r>
        <w:rPr>
          <w:lang w:val="ru-RU" w:eastAsia="ru-RU" w:bidi="ru-RU"/>
          <w:w w:val="100"/>
          <w:spacing w:val="0"/>
          <w:color w:val="000000"/>
          <w:position w:val="0"/>
        </w:rPr>
        <w:t>^Государственное бюджетное учреждение здравоохранения ~Т Севастополя «Медицинский информационно-аналитический центр»</w:t>
      </w:r>
    </w:p>
    <w:p>
      <w:pPr>
        <w:pStyle w:val="Style9"/>
        <w:widowControl w:val="0"/>
        <w:keepNext w:val="0"/>
        <w:keepLines w:val="0"/>
        <w:shd w:val="clear" w:color="auto" w:fill="auto"/>
        <w:bidi w:val="0"/>
        <w:jc w:val="left"/>
        <w:spacing w:before="0" w:after="300" w:line="367" w:lineRule="exact"/>
        <w:ind w:left="20" w:right="40" w:firstLine="0"/>
      </w:pPr>
      <w:r>
        <w:rPr>
          <w:lang w:val="ru-RU" w:eastAsia="ru-RU" w:bidi="ru-RU"/>
          <w:w w:val="100"/>
          <w:spacing w:val="0"/>
          <w:color w:val="000000"/>
          <w:position w:val="0"/>
        </w:rPr>
        <w:t xml:space="preserve">ул. Правды, д. 6, г. Севастополь, 299014 </w:t>
      </w:r>
      <w:r>
        <w:fldChar w:fldCharType="begin"/>
      </w:r>
      <w:r>
        <w:rPr>
          <w:rStyle w:val="CharStyle18"/>
        </w:rPr>
        <w:instrText> HYPERLINK "mailto:info@sevmiac.ru" </w:instrText>
      </w:r>
      <w:r>
        <w:fldChar w:fldCharType="separate"/>
      </w:r>
      <w:r>
        <w:rPr>
          <w:rStyle w:val="Hyperlink"/>
        </w:rPr>
        <w:t>info@sevmiac.ru</w:t>
      </w:r>
      <w:r>
        <w:fldChar w:fldCharType="end"/>
      </w:r>
    </w:p>
    <w:p>
      <w:pPr>
        <w:pStyle w:val="Style15"/>
        <w:widowControl w:val="0"/>
        <w:keepNext w:val="0"/>
        <w:keepLines w:val="0"/>
        <w:shd w:val="clear" w:color="auto" w:fill="auto"/>
        <w:bidi w:val="0"/>
        <w:jc w:val="both"/>
        <w:spacing w:before="0" w:after="0" w:line="367" w:lineRule="exact"/>
        <w:ind w:left="20" w:right="280" w:firstLine="0"/>
      </w:pPr>
      <w:r>
        <w:rPr>
          <w:rStyle w:val="CharStyle17"/>
          <w:b/>
          <w:bCs/>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w:t>
      </w:r>
    </w:p>
    <w:p>
      <w:pPr>
        <w:pStyle w:val="Style9"/>
        <w:widowControl w:val="0"/>
        <w:keepNext w:val="0"/>
        <w:keepLines w:val="0"/>
        <w:shd w:val="clear" w:color="auto" w:fill="auto"/>
        <w:bidi w:val="0"/>
        <w:jc w:val="left"/>
        <w:spacing w:before="0" w:after="0" w:line="372" w:lineRule="exact"/>
        <w:ind w:left="20" w:right="40" w:firstLine="0"/>
        <w:sectPr>
          <w:footnotePr>
            <w:pos w:val="pageBottom"/>
            <w:numFmt w:val="decimal"/>
            <w:numRestart w:val="continuous"/>
          </w:footnotePr>
          <w:type w:val="continuous"/>
          <w:pgSz w:w="11906" w:h="16838"/>
          <w:pgMar w:top="1160" w:left="879" w:right="765" w:bottom="1098" w:header="0" w:footer="3" w:gutter="0"/>
          <w:rtlGutter w:val="0"/>
          <w:cols w:num="2" w:space="1293"/>
          <w:noEndnote/>
          <w:docGrid w:linePitch="360"/>
        </w:sectPr>
      </w:pPr>
      <w:r>
        <w:rPr>
          <w:lang w:val="ru-RU" w:eastAsia="ru-RU" w:bidi="ru-RU"/>
          <w:w w:val="100"/>
          <w:spacing w:val="0"/>
          <w:color w:val="000000"/>
          <w:position w:val="0"/>
        </w:rPr>
        <w:t>ул. Кожевническая, д. 14, стр. 5 г. Москва, 115114,</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0" w:line="315" w:lineRule="exact"/>
        <w:ind w:left="2300" w:right="2280" w:firstLine="2260"/>
      </w:pPr>
      <w:r>
        <w:rPr>
          <w:lang w:val="ru-RU" w:eastAsia="ru-RU" w:bidi="ru-RU"/>
          <w:w w:val="100"/>
          <w:spacing w:val="0"/>
          <w:color w:val="000000"/>
          <w:position w:val="0"/>
        </w:rPr>
        <w:t>РЕШЕНИЕ по делу № 092/06/99-5/2020 о нарушении законодательства об осуществлении закупок</w:t>
      </w:r>
    </w:p>
    <w:p>
      <w:pPr>
        <w:pStyle w:val="Style9"/>
        <w:widowControl w:val="0"/>
        <w:keepNext w:val="0"/>
        <w:keepLines w:val="0"/>
        <w:shd w:val="clear" w:color="auto" w:fill="auto"/>
        <w:bidi w:val="0"/>
        <w:jc w:val="right"/>
        <w:spacing w:before="0" w:after="0" w:line="315" w:lineRule="exact"/>
        <w:ind w:left="0" w:right="20" w:firstLine="0"/>
      </w:pPr>
      <w:r>
        <w:rPr>
          <w:lang w:val="ru-RU" w:eastAsia="ru-RU" w:bidi="ru-RU"/>
          <w:w w:val="100"/>
          <w:spacing w:val="0"/>
          <w:color w:val="000000"/>
          <w:position w:val="0"/>
        </w:rPr>
        <w:t>г. Севастополь</w:t>
      </w:r>
    </w:p>
    <w:p>
      <w:pPr>
        <w:pStyle w:val="Style9"/>
        <w:widowControl w:val="0"/>
        <w:keepNext w:val="0"/>
        <w:keepLines w:val="0"/>
        <w:shd w:val="clear" w:color="auto" w:fill="auto"/>
        <w:bidi w:val="0"/>
        <w:jc w:val="both"/>
        <w:spacing w:before="0" w:after="273" w:line="260" w:lineRule="exact"/>
        <w:ind w:left="0" w:right="0" w:firstLine="700"/>
      </w:pPr>
      <w:r>
        <w:rPr>
          <w:lang w:val="ru-RU" w:eastAsia="ru-RU" w:bidi="ru-RU"/>
          <w:w w:val="100"/>
          <w:spacing w:val="0"/>
          <w:color w:val="000000"/>
          <w:position w:val="0"/>
        </w:rPr>
        <w:t>Решение изготовлено в полном объеме 20 января 2020 года.</w:t>
      </w:r>
    </w:p>
    <w:p>
      <w:pPr>
        <w:pStyle w:val="Style9"/>
        <w:widowControl w:val="0"/>
        <w:keepNext w:val="0"/>
        <w:keepLines w:val="0"/>
        <w:shd w:val="clear" w:color="auto" w:fill="auto"/>
        <w:bidi w:val="0"/>
        <w:jc w:val="both"/>
        <w:spacing w:before="0" w:after="0" w:line="362" w:lineRule="exact"/>
        <w:ind w:left="0" w:right="2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w:t>
      </w:r>
    </w:p>
    <w:p>
      <w:pPr>
        <w:pStyle w:val="Style9"/>
        <w:widowControl w:val="0"/>
        <w:keepNext w:val="0"/>
        <w:keepLines w:val="0"/>
        <w:shd w:val="clear" w:color="auto" w:fill="auto"/>
        <w:bidi w:val="0"/>
        <w:jc w:val="both"/>
        <w:spacing w:before="0" w:after="0" w:line="362" w:lineRule="exact"/>
        <w:ind w:left="0" w:right="20" w:firstLine="700"/>
      </w:pPr>
      <w:r>
        <w:rPr>
          <w:lang w:val="ru-RU" w:eastAsia="ru-RU" w:bidi="ru-RU"/>
          <w:w w:val="100"/>
          <w:spacing w:val="0"/>
          <w:color w:val="000000"/>
          <w:position w:val="0"/>
        </w:rPr>
        <w:t>Мехтиев В.В. - заместитель руководителя Управления, председатель Комиссии;</w:t>
      </w:r>
    </w:p>
    <w:p>
      <w:pPr>
        <w:pStyle w:val="Style9"/>
        <w:widowControl w:val="0"/>
        <w:keepNext w:val="0"/>
        <w:keepLines w:val="0"/>
        <w:shd w:val="clear" w:color="auto" w:fill="auto"/>
        <w:bidi w:val="0"/>
        <w:jc w:val="both"/>
        <w:spacing w:before="0" w:after="0" w:line="362" w:lineRule="exact"/>
        <w:ind w:left="0" w:right="20" w:firstLine="700"/>
      </w:pPr>
      <w:r>
        <w:rPr>
          <w:lang w:val="ru-RU" w:eastAsia="ru-RU" w:bidi="ru-RU"/>
          <w:w w:val="100"/>
          <w:spacing w:val="0"/>
          <w:color w:val="000000"/>
          <w:position w:val="0"/>
        </w:rPr>
        <w:t>Крутова В.М.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9"/>
        <w:widowControl w:val="0"/>
        <w:keepNext w:val="0"/>
        <w:keepLines w:val="0"/>
        <w:shd w:val="clear" w:color="auto" w:fill="auto"/>
        <w:bidi w:val="0"/>
        <w:jc w:val="both"/>
        <w:spacing w:before="0" w:after="0" w:line="362" w:lineRule="exact"/>
        <w:ind w:left="0" w:right="0" w:firstLine="700"/>
      </w:pPr>
      <w:r>
        <w:rPr>
          <w:lang w:val="ru-RU" w:eastAsia="ru-RU" w:bidi="ru-RU"/>
          <w:w w:val="100"/>
          <w:spacing w:val="0"/>
          <w:color w:val="000000"/>
          <w:position w:val="0"/>
        </w:rPr>
        <w:t>Малолетнев Е.С. - специалист-эксперт Отдела Управления, член Комиссии,</w:t>
      </w:r>
    </w:p>
    <w:p>
      <w:pPr>
        <w:pStyle w:val="Style9"/>
        <w:widowControl w:val="0"/>
        <w:keepNext w:val="0"/>
        <w:keepLines w:val="0"/>
        <w:shd w:val="clear" w:color="auto" w:fill="auto"/>
        <w:bidi w:val="0"/>
        <w:jc w:val="both"/>
        <w:spacing w:before="0" w:after="0" w:line="260" w:lineRule="exact"/>
        <w:ind w:left="0" w:right="0" w:firstLine="700"/>
      </w:pPr>
      <w:r>
        <w:rPr>
          <w:lang w:val="ru-RU" w:eastAsia="ru-RU" w:bidi="ru-RU"/>
          <w:w w:val="100"/>
          <w:spacing w:val="0"/>
          <w:color w:val="000000"/>
          <w:position w:val="0"/>
        </w:rPr>
        <w:t>в присутствии представителей:</w:t>
      </w:r>
      <w:r>
        <w:br w:type="page"/>
      </w:r>
    </w:p>
    <w:p>
      <w:pPr>
        <w:pStyle w:val="Style19"/>
        <w:tabs>
          <w:tab w:leader="none" w:pos="7416" w:val="left"/>
        </w:tabs>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1 осударственного бюджетного учреждения здравоохранения Севастополя «Медицинский информационно-аналитический центр»:</w:t>
        <w:tab/>
      </w:r>
      <w:r>
        <w:rPr>
          <w:rStyle w:val="CharStyle21"/>
        </w:rPr>
        <w:t xml:space="preserve">Г олобоков Д.Н. </w:t>
      </w:r>
      <w:r>
        <w:rPr>
          <w:lang w:val="ru-RU" w:eastAsia="ru-RU" w:bidi="ru-RU"/>
          <w:w w:val="100"/>
          <w:spacing w:val="0"/>
          <w:color w:val="000000"/>
          <w:position w:val="0"/>
        </w:rPr>
        <w:t>(по</w:t>
      </w:r>
    </w:p>
    <w:p>
      <w:pPr>
        <w:pStyle w:val="Style19"/>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доверенности б/н от 09,01,2020),</w:t>
      </w:r>
    </w:p>
    <w:p>
      <w:pPr>
        <w:pStyle w:val="Style19"/>
        <w:widowControl w:val="0"/>
        <w:keepNext w:val="0"/>
        <w:keepLines w:val="0"/>
        <w:shd w:val="clear" w:color="auto" w:fill="auto"/>
        <w:bidi w:val="0"/>
        <w:spacing w:before="0" w:after="202" w:line="362" w:lineRule="exact"/>
        <w:ind w:left="40" w:right="40" w:firstLine="700"/>
      </w:pPr>
      <w:r>
        <w:rPr>
          <w:lang w:val="ru-RU" w:eastAsia="ru-RU" w:bidi="ru-RU"/>
          <w:w w:val="100"/>
          <w:spacing w:val="0"/>
          <w:color w:val="000000"/>
          <w:position w:val="0"/>
        </w:rPr>
        <w:t xml:space="preserve">рассмотрев обращение о проведении внеплановой проверки действий </w:t>
      </w:r>
      <w:r>
        <w:rPr>
          <w:lang w:val="en-US" w:eastAsia="en-US" w:bidi="en-US"/>
          <w:w w:val="100"/>
          <w:spacing w:val="0"/>
          <w:color w:val="000000"/>
          <w:position w:val="0"/>
        </w:rPr>
        <w:t xml:space="preserve">i </w:t>
      </w:r>
      <w:r>
        <w:rPr>
          <w:lang w:val="ru-RU" w:eastAsia="ru-RU" w:bidi="ru-RU"/>
          <w:w w:val="100"/>
          <w:spacing w:val="0"/>
          <w:color w:val="000000"/>
          <w:position w:val="0"/>
        </w:rPr>
        <w:t xml:space="preserve">осударственного бюджетного учреждения здравоохранения Севастополя «'Медицинский информационно-аналитический центр» (далее - Заказчик) при проведении электронного аукциона на поставку стола операционного универсального,, извещение №0174200002019000518 (далее — Аукцион), рассмотрев представленные материалы, в соответствии со статьей 99 Федерального закона от 05 апреля 2013 года №44-ФЗ </w:t>
      </w:r>
      <w:r>
        <w:rPr>
          <w:rStyle w:val="CharStyle21"/>
        </w:rPr>
        <w:t xml:space="preserve">«О </w:t>
      </w:r>
      <w:r>
        <w:rPr>
          <w:lang w:val="ru-RU" w:eastAsia="ru-RU" w:bidi="ru-RU"/>
          <w:w w:val="100"/>
          <w:spacing w:val="0"/>
          <w:color w:val="000000"/>
          <w:position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widowControl w:val="0"/>
        <w:keepNext w:val="0"/>
        <w:keepLines w:val="0"/>
        <w:shd w:val="clear" w:color="auto" w:fill="auto"/>
        <w:bidi w:val="0"/>
        <w:jc w:val="left"/>
        <w:spacing w:before="0" w:after="98" w:line="260" w:lineRule="exact"/>
        <w:ind w:left="4420" w:right="0" w:firstLine="0"/>
      </w:pPr>
      <w:r>
        <w:rPr>
          <w:lang w:val="ru-RU" w:eastAsia="ru-RU" w:bidi="ru-RU"/>
          <w:w w:val="100"/>
          <w:spacing w:val="0"/>
          <w:color w:val="000000"/>
          <w:position w:val="0"/>
        </w:rPr>
        <w:t>УСТАНОВИЛА^</w:t>
      </w:r>
    </w:p>
    <w:p>
      <w:pPr>
        <w:pStyle w:val="Style19"/>
        <w:widowControl w:val="0"/>
        <w:keepNext w:val="0"/>
        <w:keepLines w:val="0"/>
        <w:shd w:val="clear" w:color="auto" w:fill="auto"/>
        <w:bidi w:val="0"/>
        <w:spacing w:before="0" w:after="116" w:line="362" w:lineRule="exact"/>
        <w:ind w:left="40" w:right="40" w:firstLine="700"/>
      </w:pPr>
      <w:r>
        <w:rPr>
          <w:lang w:val="ru-RU" w:eastAsia="ru-RU" w:bidi="ru-RU"/>
          <w:w w:val="100"/>
          <w:spacing w:val="0"/>
          <w:color w:val="000000"/>
          <w:position w:val="0"/>
        </w:rPr>
        <w:t xml:space="preserve">Извещение о проведении Аукциона, протоколы заседаний закупочной комиссии размещены на официальном сайте </w:t>
      </w:r>
      <w:r>
        <w:rPr>
          <w:rStyle w:val="CharStyle22"/>
        </w:rPr>
        <w:t>hltp://zakupki .gov.ru</w:t>
      </w:r>
      <w:r>
        <w:rPr>
          <w:lang w:val="en-US" w:eastAsia="en-US" w:bidi="en-US"/>
          <w:w w:val="100"/>
          <w:spacing w:val="0"/>
          <w:color w:val="000000"/>
          <w:position w:val="0"/>
        </w:rPr>
        <w:t xml:space="preserve"> </w:t>
      </w:r>
      <w:r>
        <w:rPr>
          <w:lang w:val="ru-RU" w:eastAsia="ru-RU" w:bidi="ru-RU"/>
          <w:w w:val="100"/>
          <w:spacing w:val="0"/>
          <w:color w:val="000000"/>
          <w:position w:val="0"/>
        </w:rPr>
        <w:t xml:space="preserve">в единой ' </w:t>
      </w:r>
      <w:r>
        <w:rPr>
          <w:rStyle w:val="CharStyle21"/>
        </w:rPr>
        <w:t xml:space="preserve">^ м </w:t>
      </w:r>
      <w:r>
        <w:rPr>
          <w:lang w:val="ru-RU" w:eastAsia="ru-RU" w:bidi="ru-RU"/>
          <w:w w:val="100"/>
          <w:spacing w:val="0"/>
          <w:color w:val="000000"/>
          <w:position w:val="0"/>
        </w:rPr>
        <w:t xml:space="preserve">1 __ ;:е _е ш-щзьыг«^ионно-телекоммуникационной </w:t>
      </w:r>
      <w:r>
        <w:rPr>
          <w:rStyle w:val="CharStyle21"/>
        </w:rPr>
        <w:t>сети «Интернет»</w:t>
      </w:r>
    </w:p>
    <w:p>
      <w:pPr>
        <w:pStyle w:val="Style19"/>
        <w:widowControl w:val="0"/>
        <w:keepNext w:val="0"/>
        <w:keepLines w:val="0"/>
        <w:shd w:val="clear" w:color="auto" w:fill="auto"/>
        <w:bidi w:val="0"/>
        <w:spacing w:before="0" w:after="0" w:line="367" w:lineRule="exact"/>
        <w:ind w:left="40" w:right="40" w:firstLine="700"/>
      </w:pPr>
      <w:r>
        <w:rPr>
          <w:rStyle w:val="CharStyle21"/>
        </w:rPr>
        <w:t xml:space="preserve">Изучением </w:t>
      </w:r>
      <w:r>
        <w:rPr>
          <w:lang w:val="ru-RU" w:eastAsia="ru-RU" w:bidi="ru-RU"/>
          <w:w w:val="100"/>
          <w:spacing w:val="0"/>
          <w:color w:val="000000"/>
          <w:position w:val="0"/>
        </w:rPr>
        <w:t xml:space="preserve">информации, размещенной в </w:t>
      </w:r>
      <w:r>
        <w:rPr>
          <w:rStyle w:val="CharStyle21"/>
        </w:rPr>
        <w:t xml:space="preserve">ЕИС (извещение </w:t>
      </w:r>
      <w:r>
        <w:rPr>
          <w:lang w:val="ru-RU" w:eastAsia="ru-RU" w:bidi="ru-RU"/>
          <w:w w:val="100"/>
          <w:spacing w:val="0"/>
          <w:color w:val="000000"/>
          <w:position w:val="0"/>
        </w:rPr>
        <w:t xml:space="preserve">№0174200002019000518) Комиссией Управления </w:t>
      </w:r>
      <w:r>
        <w:rPr>
          <w:rStyle w:val="CharStyle21"/>
        </w:rPr>
        <w:t xml:space="preserve">установлено, что объектом </w:t>
      </w:r>
      <w:r>
        <w:rPr>
          <w:rStyle w:val="CharStyle23"/>
        </w:rPr>
        <w:t xml:space="preserve">закупки </w:t>
      </w:r>
      <w:r>
        <w:rPr>
          <w:lang w:val="ru-RU" w:eastAsia="ru-RU" w:bidi="ru-RU"/>
          <w:w w:val="100"/>
          <w:spacing w:val="0"/>
          <w:color w:val="000000"/>
          <w:position w:val="0"/>
        </w:rPr>
        <w:t>является поставка стола операционного универсального.</w:t>
      </w:r>
    </w:p>
    <w:p>
      <w:pPr>
        <w:pStyle w:val="Style19"/>
        <w:widowControl w:val="0"/>
        <w:keepNext w:val="0"/>
        <w:keepLines w:val="0"/>
        <w:shd w:val="clear" w:color="auto" w:fill="auto"/>
        <w:bidi w:val="0"/>
        <w:spacing w:before="0" w:after="0" w:line="367" w:lineRule="exact"/>
        <w:ind w:left="40" w:right="40" w:firstLine="700"/>
      </w:pPr>
      <w:r>
        <w:rPr>
          <w:lang w:val="ru-RU" w:eastAsia="ru-RU" w:bidi="ru-RU"/>
          <w:w w:val="100"/>
          <w:spacing w:val="0"/>
          <w:color w:val="000000"/>
          <w:position w:val="0"/>
        </w:rPr>
        <w:t>Комиссия Управления, изучив представленные материалы и информацию, размещенную в ЕИС, приходит к следующим выводам:</w:t>
      </w:r>
    </w:p>
    <w:p>
      <w:pPr>
        <w:pStyle w:val="Style19"/>
        <w:widowControl w:val="0"/>
        <w:keepNext w:val="0"/>
        <w:keepLines w:val="0"/>
        <w:shd w:val="clear" w:color="auto" w:fill="auto"/>
        <w:bidi w:val="0"/>
        <w:spacing w:before="0" w:after="0" w:line="367" w:lineRule="exact"/>
        <w:ind w:left="40" w:right="40" w:firstLine="700"/>
      </w:pPr>
      <w:r>
        <w:rPr>
          <w:lang w:val="ru-RU" w:eastAsia="ru-RU" w:bidi="ru-RU"/>
          <w:w w:val="100"/>
          <w:spacing w:val="0"/>
          <w:color w:val="000000"/>
          <w:position w:val="0"/>
        </w:rPr>
        <w:t xml:space="preserve">Порядок проведения сотрудниками Крымского УФАС России проверок по фактам нарушения законодательства в сфере закупок определен статьями 99, 105,106 Федерального закона от 05,04.2013 года № 44-ФЗ «О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w:t>
      </w:r>
      <w:r>
        <w:rPr>
          <w:rStyle w:val="CharStyle24"/>
        </w:rPr>
        <w:t xml:space="preserve">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Pr>
          <w:lang w:val="ru-RU" w:eastAsia="ru-RU" w:bidi="ru-RU"/>
          <w:w w:val="100"/>
          <w:spacing w:val="0"/>
          <w:color w:val="000000"/>
          <w:position w:val="0"/>
        </w:rPr>
        <w:t xml:space="preserve">и муниципальных </w:t>
      </w:r>
      <w:r>
        <w:rPr>
          <w:rStyle w:val="CharStyle24"/>
        </w:rPr>
        <w:t xml:space="preserve">нужд, утвержденным Приказом ФАС России от 19.11.2014 года № </w:t>
      </w:r>
      <w:r>
        <w:rPr>
          <w:lang w:val="ru-RU" w:eastAsia="ru-RU" w:bidi="ru-RU"/>
          <w:w w:val="100"/>
          <w:spacing w:val="0"/>
          <w:color w:val="000000"/>
          <w:position w:val="0"/>
        </w:rPr>
        <w:t>727/14.</w:t>
      </w:r>
    </w:p>
    <w:p>
      <w:pPr>
        <w:pStyle w:val="Style9"/>
        <w:widowControl w:val="0"/>
        <w:keepNext w:val="0"/>
        <w:keepLines w:val="0"/>
        <w:shd w:val="clear" w:color="auto" w:fill="auto"/>
        <w:bidi w:val="0"/>
        <w:jc w:val="both"/>
        <w:spacing w:before="0" w:after="0" w:line="367" w:lineRule="exact"/>
        <w:ind w:left="40" w:right="40" w:firstLine="700"/>
      </w:pPr>
      <w:r>
        <w:rPr>
          <w:rStyle w:val="CharStyle25"/>
        </w:rPr>
        <w:t xml:space="preserve">Указанные </w:t>
      </w:r>
      <w:r>
        <w:rPr>
          <w:rStyle w:val="CharStyle26"/>
        </w:rPr>
        <w:t xml:space="preserve">выше </w:t>
      </w:r>
      <w:r>
        <w:rPr>
          <w:lang w:val="ru-RU" w:eastAsia="ru-RU" w:bidi="ru-RU"/>
          <w:w w:val="100"/>
          <w:spacing w:val="0"/>
          <w:color w:val="000000"/>
          <w:position w:val="0"/>
        </w:rPr>
        <w:t xml:space="preserve">нормативные правовые акты содержат указание на </w:t>
      </w:r>
      <w:r>
        <w:rPr>
          <w:rStyle w:val="CharStyle26"/>
        </w:rPr>
        <w:t xml:space="preserve">необходимость </w:t>
      </w:r>
      <w:r>
        <w:rPr>
          <w:rStyle w:val="CharStyle25"/>
        </w:rPr>
        <w:t xml:space="preserve">изложения в </w:t>
      </w:r>
      <w:r>
        <w:rPr>
          <w:lang w:val="ru-RU" w:eastAsia="ru-RU" w:bidi="ru-RU"/>
          <w:w w:val="100"/>
          <w:spacing w:val="0"/>
          <w:color w:val="000000"/>
          <w:position w:val="0"/>
        </w:rPr>
        <w:t xml:space="preserve">материалах, направляемых на проверку в антимонопольный </w:t>
      </w:r>
      <w:r>
        <w:rPr>
          <w:rStyle w:val="CharStyle25"/>
        </w:rPr>
        <w:t xml:space="preserve">орган </w:t>
      </w:r>
      <w:r>
        <w:rPr>
          <w:lang w:val="ru-RU" w:eastAsia="ru-RU" w:bidi="ru-RU"/>
          <w:w w:val="100"/>
          <w:spacing w:val="0"/>
          <w:color w:val="000000"/>
          <w:position w:val="0"/>
        </w:rPr>
        <w:t xml:space="preserve">или контрольный орган в сфере закупок конкретных сведений </w:t>
      </w:r>
      <w:r>
        <w:rPr>
          <w:rStyle w:val="CharStyle25"/>
        </w:rPr>
        <w:t xml:space="preserve">о </w:t>
      </w:r>
      <w:r>
        <w:rPr>
          <w:lang w:val="ru-RU" w:eastAsia="ru-RU" w:bidi="ru-RU"/>
          <w:w w:val="100"/>
          <w:spacing w:val="0"/>
          <w:color w:val="000000"/>
          <w:position w:val="0"/>
        </w:rPr>
        <w:t>возможном нарушении соответствующих правовых норм.</w:t>
      </w:r>
    </w:p>
    <w:p>
      <w:pPr>
        <w:pStyle w:val="Style9"/>
        <w:widowControl w:val="0"/>
        <w:keepNext w:val="0"/>
        <w:keepLines w:val="0"/>
        <w:shd w:val="clear" w:color="auto" w:fill="auto"/>
        <w:bidi w:val="0"/>
        <w:jc w:val="both"/>
        <w:spacing w:before="0" w:after="0" w:line="372" w:lineRule="exact"/>
        <w:ind w:left="20" w:right="40" w:firstLine="700"/>
      </w:pPr>
      <w:r>
        <w:rPr>
          <w:lang w:val="ru-RU" w:eastAsia="ru-RU" w:bidi="ru-RU"/>
          <w:w w:val="100"/>
          <w:spacing w:val="0"/>
          <w:color w:val="000000"/>
          <w:position w:val="0"/>
        </w:rPr>
        <w:t xml:space="preserve">Комиссией Управления установлено, что 08.01.2020 в адрес Заказчика поступил запрос о даче разъяснений положений документации об электронном аукционе, а именно: </w:t>
      </w:r>
      <w:r>
        <w:rPr>
          <w:rStyle w:val="CharStyle27"/>
        </w:rPr>
        <w:t>«...в Техническом задании на поставку стола операционного универсального, в пунктах 2.18 указана следующая информация:</w:t>
      </w:r>
    </w:p>
    <w:p>
      <w:pPr>
        <w:pStyle w:val="Style28"/>
        <w:widowControl w:val="0"/>
        <w:keepNext/>
        <w:keepLines/>
        <w:shd w:val="clear" w:color="auto" w:fill="auto"/>
        <w:bidi w:val="0"/>
        <w:spacing w:before="0" w:after="18" w:line="210" w:lineRule="exact"/>
        <w:ind w:left="20" w:right="0"/>
      </w:pPr>
      <w:bookmarkStart w:id="1" w:name="bookmark1"/>
      <w:r>
        <w:rPr>
          <w:rStyle w:val="CharStyle30"/>
          <w:i/>
          <w:iCs/>
        </w:rPr>
        <w:t>«</w:t>
      </w:r>
      <w:r>
        <w:rPr>
          <w:lang w:val="ru-RU" w:eastAsia="ru-RU" w:bidi="ru-RU"/>
          <w:w w:val="100"/>
          <w:spacing w:val="0"/>
          <w:color w:val="000000"/>
          <w:position w:val="0"/>
        </w:rPr>
        <w:t>...</w:t>
      </w:r>
      <w:bookmarkEnd w:id="1"/>
    </w:p>
    <w:tbl>
      <w:tblPr>
        <w:tblOverlap w:val="never"/>
        <w:tblLayout w:type="fixed"/>
        <w:jc w:val="center"/>
      </w:tblPr>
      <w:tblGrid>
        <w:gridCol w:w="963"/>
        <w:gridCol w:w="3238"/>
        <w:gridCol w:w="4115"/>
      </w:tblGrid>
      <w:tr>
        <w:trPr>
          <w:trHeight w:val="358" w:hRule="exact"/>
        </w:trPr>
        <w:tc>
          <w:tcPr>
            <w:shd w:val="clear" w:color="auto" w:fill="FFFFFF"/>
            <w:tcBorders>
              <w:left w:val="single" w:sz="4"/>
              <w:top w:val="single" w:sz="4"/>
            </w:tcBorders>
            <w:vAlign w:val="center"/>
          </w:tcPr>
          <w:p>
            <w:pPr>
              <w:pStyle w:val="Style9"/>
              <w:framePr w:w="8316"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1"/>
              </w:rPr>
              <w:t>2.18</w:t>
            </w:r>
          </w:p>
        </w:tc>
        <w:tc>
          <w:tcPr>
            <w:shd w:val="clear" w:color="auto" w:fill="FFFFFF"/>
            <w:tcBorders>
              <w:left w:val="single" w:sz="4"/>
              <w:top w:val="single" w:sz="4"/>
            </w:tcBorders>
            <w:vAlign w:val="top"/>
          </w:tcPr>
          <w:p>
            <w:pPr>
              <w:pStyle w:val="Style9"/>
              <w:framePr w:w="8316" w:wrap="notBeside" w:vAnchor="text" w:hAnchor="text" w:xAlign="center" w:y="1"/>
              <w:widowControl w:val="0"/>
              <w:keepNext w:val="0"/>
              <w:keepLines w:val="0"/>
              <w:shd w:val="clear" w:color="auto" w:fill="auto"/>
              <w:bidi w:val="0"/>
              <w:spacing w:before="0" w:after="0" w:line="220" w:lineRule="exact"/>
              <w:ind w:left="0" w:right="0" w:firstLine="0"/>
            </w:pPr>
            <w:r>
              <w:rPr>
                <w:rStyle w:val="CharStyle31"/>
              </w:rPr>
              <w:t>Потребляемая</w:t>
            </w:r>
          </w:p>
        </w:tc>
        <w:tc>
          <w:tcPr>
            <w:shd w:val="clear" w:color="auto" w:fill="FFFFFF"/>
            <w:tcBorders>
              <w:left w:val="single" w:sz="4"/>
              <w:right w:val="single" w:sz="4"/>
              <w:top w:val="single" w:sz="4"/>
            </w:tcBorders>
            <w:vAlign w:val="top"/>
          </w:tcPr>
          <w:p>
            <w:pPr>
              <w:pStyle w:val="Style9"/>
              <w:framePr w:w="8316" w:wrap="notBeside" w:vAnchor="text" w:hAnchor="text" w:xAlign="center" w:y="1"/>
              <w:widowControl w:val="0"/>
              <w:keepNext w:val="0"/>
              <w:keepLines w:val="0"/>
              <w:shd w:val="clear" w:color="auto" w:fill="auto"/>
              <w:bidi w:val="0"/>
              <w:jc w:val="left"/>
              <w:spacing w:before="0" w:after="0" w:line="220" w:lineRule="exact"/>
              <w:ind w:left="820" w:right="0" w:firstLine="0"/>
            </w:pPr>
            <w:r>
              <w:rPr>
                <w:rStyle w:val="CharStyle31"/>
              </w:rPr>
              <w:t>не более 350</w:t>
            </w:r>
          </w:p>
        </w:tc>
      </w:tr>
      <w:tr>
        <w:trPr>
          <w:trHeight w:val="315" w:hRule="exact"/>
        </w:trPr>
        <w:tc>
          <w:tcPr>
            <w:shd w:val="clear" w:color="auto" w:fill="FFFFFF"/>
            <w:tcBorders>
              <w:left w:val="single" w:sz="4"/>
              <w:bottom w:val="single" w:sz="4"/>
            </w:tcBorders>
            <w:vAlign w:val="top"/>
          </w:tcPr>
          <w:p>
            <w:pPr>
              <w:framePr w:w="8316"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9"/>
              <w:framePr w:w="8316"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31"/>
              </w:rPr>
              <w:t>мощность, Вт</w:t>
            </w:r>
          </w:p>
        </w:tc>
        <w:tc>
          <w:tcPr>
            <w:shd w:val="clear" w:color="auto" w:fill="FFFFFF"/>
            <w:tcBorders>
              <w:left w:val="single" w:sz="4"/>
              <w:right w:val="single" w:sz="4"/>
              <w:bottom w:val="single" w:sz="4"/>
            </w:tcBorders>
            <w:vAlign w:val="top"/>
          </w:tcPr>
          <w:p>
            <w:pPr>
              <w:framePr w:w="8316" w:wrap="notBeside" w:vAnchor="text" w:hAnchor="text" w:xAlign="center" w:y="1"/>
              <w:widowControl w:val="0"/>
              <w:rPr>
                <w:sz w:val="10"/>
                <w:szCs w:val="10"/>
              </w:rPr>
            </w:pPr>
          </w:p>
        </w:tc>
      </w:tr>
    </w:tbl>
    <w:p>
      <w:pPr>
        <w:widowControl w:val="0"/>
        <w:rPr>
          <w:sz w:val="2"/>
          <w:szCs w:val="2"/>
        </w:rPr>
      </w:pPr>
    </w:p>
    <w:p>
      <w:pPr>
        <w:pStyle w:val="Style32"/>
        <w:widowControl w:val="0"/>
        <w:keepNext w:val="0"/>
        <w:keepLines w:val="0"/>
        <w:shd w:val="clear" w:color="auto" w:fill="auto"/>
        <w:bidi w:val="0"/>
        <w:spacing w:before="271" w:after="0"/>
        <w:ind w:left="20" w:right="40"/>
      </w:pPr>
      <w:r>
        <w:rPr>
          <w:lang w:val="ru-RU" w:eastAsia="ru-RU" w:bidi="ru-RU"/>
          <w:w w:val="100"/>
          <w:spacing w:val="0"/>
          <w:color w:val="000000"/>
          <w:position w:val="0"/>
        </w:rPr>
        <w:t>В современных операционных столах, которые могут функционировать от аккумуляторных батарей в течение до 7 суток включительно, данный пункт имеет малое значение. По сути, мощность потребляется из электрической сети только в момент зарядки аккумуляторных батарей, поскольку в момент операций стол отключен от электросети.</w:t>
      </w:r>
    </w:p>
    <w:p>
      <w:pPr>
        <w:pStyle w:val="Style32"/>
        <w:widowControl w:val="0"/>
        <w:keepNext w:val="0"/>
        <w:keepLines w:val="0"/>
        <w:shd w:val="clear" w:color="auto" w:fill="auto"/>
        <w:bidi w:val="0"/>
        <w:spacing w:before="0" w:after="0"/>
        <w:ind w:left="20" w:right="40"/>
      </w:pPr>
      <w:r>
        <w:rPr>
          <w:lang w:val="ru-RU" w:eastAsia="ru-RU" w:bidi="ru-RU"/>
          <w:w w:val="100"/>
          <w:spacing w:val="0"/>
          <w:color w:val="000000"/>
          <w:position w:val="0"/>
        </w:rPr>
        <w:t>350 Вт довольно малая мощность для заряда емкостных аккумуляторных батарей: к примеру, 350 Вт - обычная мощность, потребляемая бытовым пылесосом, который работает без аккумуляторных батарей, напрямую от электросети.</w:t>
      </w:r>
    </w:p>
    <w:p>
      <w:pPr>
        <w:pStyle w:val="Style32"/>
        <w:widowControl w:val="0"/>
        <w:keepNext w:val="0"/>
        <w:keepLines w:val="0"/>
        <w:shd w:val="clear" w:color="auto" w:fill="auto"/>
        <w:bidi w:val="0"/>
        <w:spacing w:before="0" w:after="0"/>
        <w:ind w:left="20" w:right="40"/>
      </w:pPr>
      <w:r>
        <w:rPr>
          <w:lang w:val="ru-RU" w:eastAsia="ru-RU" w:bidi="ru-RU"/>
          <w:w w:val="100"/>
          <w:spacing w:val="0"/>
          <w:color w:val="000000"/>
          <w:position w:val="0"/>
        </w:rPr>
        <w:t>Для заряда емкостных аккумуляторных батарей необходима мощность не менее 500</w:t>
      </w:r>
      <w:r>
        <w:rPr>
          <w:rStyle w:val="CharStyle34"/>
          <w:i w:val="0"/>
          <w:iCs w:val="0"/>
        </w:rPr>
        <w:t xml:space="preserve"> - </w:t>
      </w:r>
      <w:r>
        <w:rPr>
          <w:lang w:val="ru-RU" w:eastAsia="ru-RU" w:bidi="ru-RU"/>
          <w:w w:val="100"/>
          <w:spacing w:val="0"/>
          <w:color w:val="000000"/>
          <w:position w:val="0"/>
        </w:rPr>
        <w:t>700 Вт, поэтому, просим представителей заказчика внести изменения в техническое задание пункт 2.18:</w:t>
      </w:r>
    </w:p>
    <w:p>
      <w:pPr>
        <w:pStyle w:val="Style35"/>
        <w:widowControl w:val="0"/>
        <w:keepNext/>
        <w:keepLines/>
        <w:shd w:val="clear" w:color="auto" w:fill="auto"/>
        <w:bidi w:val="0"/>
        <w:spacing w:before="0" w:after="8" w:line="260" w:lineRule="exact"/>
        <w:ind w:left="20" w:right="0"/>
      </w:pPr>
      <w:bookmarkStart w:id="2" w:name="bookmark2"/>
      <w:r>
        <w:rPr>
          <w:lang w:val="ru-RU" w:eastAsia="ru-RU" w:bidi="ru-RU"/>
          <w:w w:val="100"/>
          <w:color w:val="000000"/>
          <w:position w:val="0"/>
        </w:rPr>
        <w:t>«...</w:t>
      </w:r>
      <w:bookmarkEnd w:id="2"/>
    </w:p>
    <w:tbl>
      <w:tblPr>
        <w:tblOverlap w:val="never"/>
        <w:tblLayout w:type="fixed"/>
        <w:jc w:val="center"/>
      </w:tblPr>
      <w:tblGrid>
        <w:gridCol w:w="820"/>
        <w:gridCol w:w="3385"/>
        <w:gridCol w:w="4115"/>
      </w:tblGrid>
      <w:tr>
        <w:trPr>
          <w:trHeight w:val="348" w:hRule="exact"/>
        </w:trPr>
        <w:tc>
          <w:tcPr>
            <w:shd w:val="clear" w:color="auto" w:fill="FFFFFF"/>
            <w:tcBorders>
              <w:left w:val="single" w:sz="4"/>
              <w:top w:val="single" w:sz="4"/>
            </w:tcBorders>
            <w:vAlign w:val="center"/>
          </w:tcPr>
          <w:p>
            <w:pPr>
              <w:pStyle w:val="Style9"/>
              <w:framePr w:w="8321"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1"/>
              </w:rPr>
              <w:t>2.18</w:t>
            </w:r>
          </w:p>
        </w:tc>
        <w:tc>
          <w:tcPr>
            <w:shd w:val="clear" w:color="auto" w:fill="FFFFFF"/>
            <w:tcBorders>
              <w:left w:val="single" w:sz="4"/>
              <w:top w:val="single" w:sz="4"/>
            </w:tcBorders>
            <w:vAlign w:val="center"/>
          </w:tcPr>
          <w:p>
            <w:pPr>
              <w:pStyle w:val="Style9"/>
              <w:framePr w:w="8321" w:wrap="notBeside" w:vAnchor="text" w:hAnchor="text" w:xAlign="center" w:y="1"/>
              <w:widowControl w:val="0"/>
              <w:keepNext w:val="0"/>
              <w:keepLines w:val="0"/>
              <w:shd w:val="clear" w:color="auto" w:fill="auto"/>
              <w:bidi w:val="0"/>
              <w:spacing w:before="0" w:after="0" w:line="220" w:lineRule="exact"/>
              <w:ind w:left="0" w:right="0" w:firstLine="0"/>
            </w:pPr>
            <w:r>
              <w:rPr>
                <w:rStyle w:val="CharStyle31"/>
              </w:rPr>
              <w:t>Потребляемая</w:t>
            </w:r>
          </w:p>
        </w:tc>
        <w:tc>
          <w:tcPr>
            <w:shd w:val="clear" w:color="auto" w:fill="FFFFFF"/>
            <w:tcBorders>
              <w:left w:val="single" w:sz="4"/>
              <w:right w:val="single" w:sz="4"/>
              <w:top w:val="single" w:sz="4"/>
            </w:tcBorders>
            <w:vAlign w:val="center"/>
          </w:tcPr>
          <w:p>
            <w:pPr>
              <w:pStyle w:val="Style9"/>
              <w:framePr w:w="8321" w:wrap="notBeside" w:vAnchor="text" w:hAnchor="text" w:xAlign="center" w:y="1"/>
              <w:widowControl w:val="0"/>
              <w:keepNext w:val="0"/>
              <w:keepLines w:val="0"/>
              <w:shd w:val="clear" w:color="auto" w:fill="auto"/>
              <w:bidi w:val="0"/>
              <w:jc w:val="left"/>
              <w:spacing w:before="0" w:after="0" w:line="220" w:lineRule="exact"/>
              <w:ind w:left="820" w:right="0" w:firstLine="0"/>
            </w:pPr>
            <w:r>
              <w:rPr>
                <w:rStyle w:val="CharStyle31"/>
              </w:rPr>
              <w:t>не менее 350</w:t>
            </w:r>
          </w:p>
        </w:tc>
      </w:tr>
      <w:tr>
        <w:trPr>
          <w:trHeight w:val="315" w:hRule="exact"/>
        </w:trPr>
        <w:tc>
          <w:tcPr>
            <w:shd w:val="clear" w:color="auto" w:fill="FFFFFF"/>
            <w:tcBorders>
              <w:left w:val="single" w:sz="4"/>
              <w:bottom w:val="single" w:sz="4"/>
            </w:tcBorders>
            <w:vAlign w:val="top"/>
          </w:tcPr>
          <w:p>
            <w:pPr>
              <w:framePr w:w="8321"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9"/>
              <w:framePr w:w="8321"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31"/>
              </w:rPr>
              <w:t>мощность, Вт</w:t>
            </w:r>
          </w:p>
        </w:tc>
        <w:tc>
          <w:tcPr>
            <w:shd w:val="clear" w:color="auto" w:fill="FFFFFF"/>
            <w:tcBorders>
              <w:left w:val="single" w:sz="4"/>
              <w:right w:val="single" w:sz="4"/>
              <w:bottom w:val="single" w:sz="4"/>
            </w:tcBorders>
            <w:vAlign w:val="top"/>
          </w:tcPr>
          <w:p>
            <w:pPr>
              <w:framePr w:w="8321" w:wrap="notBeside" w:vAnchor="text" w:hAnchor="text" w:xAlign="center" w:y="1"/>
              <w:widowControl w:val="0"/>
              <w:rPr>
                <w:sz w:val="10"/>
                <w:szCs w:val="10"/>
              </w:rPr>
            </w:pPr>
          </w:p>
        </w:tc>
      </w:tr>
    </w:tbl>
    <w:p>
      <w:pPr>
        <w:widowControl w:val="0"/>
        <w:rPr>
          <w:sz w:val="2"/>
          <w:szCs w:val="2"/>
        </w:rPr>
      </w:pPr>
    </w:p>
    <w:p>
      <w:pPr>
        <w:pStyle w:val="Style9"/>
        <w:widowControl w:val="0"/>
        <w:keepNext w:val="0"/>
        <w:keepLines w:val="0"/>
        <w:shd w:val="clear" w:color="auto" w:fill="auto"/>
        <w:bidi w:val="0"/>
        <w:jc w:val="both"/>
        <w:spacing w:before="265" w:after="0" w:line="362" w:lineRule="exact"/>
        <w:ind w:left="20" w:right="40" w:firstLine="700"/>
      </w:pPr>
      <w:r>
        <w:rPr>
          <w:lang w:val="ru-RU" w:eastAsia="ru-RU" w:bidi="ru-RU"/>
          <w:w w:val="100"/>
          <w:spacing w:val="0"/>
          <w:color w:val="000000"/>
          <w:position w:val="0"/>
        </w:rPr>
        <w:t>По результатам рассмотрения запроса, Заказчиком было установлено, что указание требования к показателю потребляемой мощности «не более 350 Вт» было установлено вследствие технической ошибки и является некорректным, в связи с чем, Заказчиком 09.01.2020 было принято решение о внесении изменений в техническое задание аукционной документации и продлении сроков подачи заявок.</w:t>
      </w:r>
    </w:p>
    <w:p>
      <w:pPr>
        <w:pStyle w:val="Style9"/>
        <w:widowControl w:val="0"/>
        <w:keepNext w:val="0"/>
        <w:keepLines w:val="0"/>
        <w:shd w:val="clear" w:color="auto" w:fill="auto"/>
        <w:bidi w:val="0"/>
        <w:jc w:val="both"/>
        <w:spacing w:before="0" w:after="0" w:line="362" w:lineRule="exact"/>
        <w:ind w:left="20" w:right="40" w:firstLine="700"/>
      </w:pPr>
      <w:r>
        <w:rPr>
          <w:lang w:val="ru-RU" w:eastAsia="ru-RU" w:bidi="ru-RU"/>
          <w:w w:val="100"/>
          <w:spacing w:val="0"/>
          <w:color w:val="000000"/>
          <w:position w:val="0"/>
        </w:rPr>
        <w:t>В соответствии с частью 4 статьи 65 Закона о контрактной системе, Заказчиком были даны разъяснения о том, что по данному вопросу будут внесены изменения в аукционную документацию.</w:t>
      </w:r>
    </w:p>
    <w:p>
      <w:pPr>
        <w:pStyle w:val="Style9"/>
        <w:widowControl w:val="0"/>
        <w:keepNext w:val="0"/>
        <w:keepLines w:val="0"/>
        <w:shd w:val="clear" w:color="auto" w:fill="auto"/>
        <w:bidi w:val="0"/>
        <w:jc w:val="both"/>
        <w:spacing w:before="0" w:after="0" w:line="362" w:lineRule="exact"/>
        <w:ind w:left="20" w:right="40" w:firstLine="700"/>
      </w:pPr>
      <w:r>
        <w:rPr>
          <w:lang w:val="ru-RU" w:eastAsia="ru-RU" w:bidi="ru-RU"/>
          <w:w w:val="100"/>
          <w:spacing w:val="0"/>
          <w:color w:val="000000"/>
          <w:position w:val="0"/>
        </w:rPr>
        <w:t>В связи с тем, что Заказчик осуществляет размещение закупок свыше 3 000 000,00 рублей через уполномоченный орган - Управление государственного заказа Департамента финансов города Севастополя, в адрес Департамента было стравлено письмо с просьбой, внести соответствующие изменения в техническое задание аукционной документации.</w:t>
      </w:r>
    </w:p>
    <w:p>
      <w:pPr>
        <w:pStyle w:val="Style9"/>
        <w:numPr>
          <w:ilvl w:val="0"/>
          <w:numId w:val="1"/>
        </w:numPr>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 xml:space="preserve"> Управлением государственного заказа были в Региональной контрактной системе города Севастополя (РКС) были сформированы соответствующие изменения и отправлены на размещение в Единой формационной системе.</w:t>
      </w:r>
    </w:p>
    <w:p>
      <w:pPr>
        <w:pStyle w:val="Style9"/>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Вместе с тем, вследствие технического сбоя в Единой информационной системе и отсутствием интеграции между ЕИС и РКС, данные изменения не были опубликованы по состоянию на 13.01.2020.</w:t>
      </w:r>
    </w:p>
    <w:p>
      <w:pPr>
        <w:pStyle w:val="Style9"/>
        <w:numPr>
          <w:ilvl w:val="0"/>
          <w:numId w:val="3"/>
        </w:numPr>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 xml:space="preserve"> состоялось окончание подачи заявок на участие в электронном тоне, вместе с тем техническое задание содержит некорректные требования, вследствие чего предлагаемое к приобретению оборудование не соответствует потребностям лечебного учреждения.</w:t>
      </w:r>
    </w:p>
    <w:p>
      <w:pPr>
        <w:pStyle w:val="Style9"/>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В то же время, Комиссия Управления установила, что согласно протоколу рассмотрения заявок на участие в электронном аукционе от 14.01.2020 №0174200002019000518-1 оба участника указали те параметры, которые фактически являются корректными, а именно «не менее 350», а так же обе заявки были допущены аукционной комиссией Заказчика.</w:t>
      </w:r>
    </w:p>
    <w:p>
      <w:pPr>
        <w:pStyle w:val="Style9"/>
        <w:widowControl w:val="0"/>
        <w:keepNext w:val="0"/>
        <w:keepLines w:val="0"/>
        <w:shd w:val="clear" w:color="auto" w:fill="auto"/>
        <w:bidi w:val="0"/>
        <w:jc w:val="both"/>
        <w:spacing w:before="0" w:after="0" w:line="367" w:lineRule="exact"/>
        <w:ind w:left="40" w:right="40" w:firstLine="0"/>
      </w:pPr>
      <w:r>
        <w:rPr>
          <w:lang w:val="ru-RU" w:eastAsia="ru-RU" w:bidi="ru-RU"/>
          <w:w w:val="100"/>
          <w:spacing w:val="0"/>
          <w:color w:val="000000"/>
          <w:position w:val="0"/>
        </w:rPr>
        <w:t>Таким образом, Комиссия Управления приходит к выводу о том, что законные права (интересы) участников не нарушены неправомерными действиями Заказчика.</w:t>
      </w:r>
    </w:p>
    <w:p>
      <w:pPr>
        <w:pStyle w:val="Style9"/>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Учитывая изложенное, Комиссия Управления считает нецелесообразным выдавать Заказчику обязательное для исполнения предписание, так как выявленные нарушения не повлияли на результаты закупки и не привели к ограничению количества участников.</w:t>
      </w:r>
    </w:p>
    <w:p>
      <w:pPr>
        <w:pStyle w:val="Style9"/>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На основании изложенного, в настоящее время отсутствуют основания проведения проверки по обращению на предмет соблюдения требований законодательства в сфере государственных или муниципальных закупок при проведении закупки с извещением №0174200002019000518.</w:t>
      </w:r>
    </w:p>
    <w:p>
      <w:pPr>
        <w:pStyle w:val="Style9"/>
        <w:widowControl w:val="0"/>
        <w:keepNext w:val="0"/>
        <w:keepLines w:val="0"/>
        <w:shd w:val="clear" w:color="auto" w:fill="auto"/>
        <w:bidi w:val="0"/>
        <w:jc w:val="both"/>
        <w:spacing w:before="0" w:after="266" w:line="367" w:lineRule="exact"/>
        <w:ind w:left="40" w:right="40" w:firstLine="700"/>
      </w:pPr>
      <w:r>
        <w:rPr>
          <w:lang w:val="ru-RU" w:eastAsia="ru-RU" w:bidi="ru-RU"/>
          <w:w w:val="100"/>
          <w:spacing w:val="0"/>
          <w:color w:val="000000"/>
          <w:position w:val="0"/>
        </w:rPr>
        <w:t>Руководствуясь статьей 99 Закона о контрактной системе, Административным регламентом, Комиссия Управления,</w:t>
      </w:r>
    </w:p>
    <w:p>
      <w:pPr>
        <w:pStyle w:val="Style37"/>
        <w:widowControl w:val="0"/>
        <w:keepNext/>
        <w:keepLines/>
        <w:shd w:val="clear" w:color="auto" w:fill="auto"/>
        <w:bidi w:val="0"/>
        <w:jc w:val="left"/>
        <w:spacing w:before="0" w:after="94" w:line="260" w:lineRule="exact"/>
        <w:ind w:left="4600" w:right="0" w:firstLine="0"/>
      </w:pPr>
      <w:bookmarkStart w:id="3" w:name="bookmark3"/>
      <w:r>
        <w:rPr>
          <w:lang w:val="ru-RU" w:eastAsia="ru-RU" w:bidi="ru-RU"/>
          <w:w w:val="100"/>
          <w:color w:val="000000"/>
          <w:position w:val="0"/>
        </w:rPr>
        <w:t>РЕШИЛА:</w:t>
      </w:r>
      <w:bookmarkEnd w:id="3"/>
    </w:p>
    <w:p>
      <w:pPr>
        <w:pStyle w:val="Style9"/>
        <w:widowControl w:val="0"/>
        <w:keepNext w:val="0"/>
        <w:keepLines w:val="0"/>
        <w:shd w:val="clear" w:color="auto" w:fill="auto"/>
        <w:bidi w:val="0"/>
        <w:jc w:val="both"/>
        <w:spacing w:before="0" w:after="282" w:line="367" w:lineRule="exact"/>
        <w:ind w:left="40" w:right="40" w:firstLine="700"/>
      </w:pPr>
      <w:r>
        <w:rPr>
          <w:lang w:val="ru-RU" w:eastAsia="ru-RU" w:bidi="ru-RU"/>
          <w:w w:val="100"/>
          <w:spacing w:val="0"/>
          <w:color w:val="000000"/>
          <w:position w:val="0"/>
        </w:rPr>
        <w:t>Проверку в отношении Г осударственного бюджетного учреждения здравоохранения Севастополя «Медицинский информационно-аналитический центр» при проведении электронного аукциона на поставку стола операционного универсального, извещение №0174200002019000518, прекратить.</w:t>
      </w:r>
    </w:p>
    <w:p>
      <w:pPr>
        <w:pStyle w:val="Style12"/>
        <w:widowControl w:val="0"/>
        <w:keepNext w:val="0"/>
        <w:keepLines w:val="0"/>
        <w:shd w:val="clear" w:color="auto" w:fill="auto"/>
        <w:bidi w:val="0"/>
        <w:jc w:val="both"/>
        <w:spacing w:before="0" w:after="0" w:line="315" w:lineRule="exact"/>
        <w:ind w:left="40" w:right="40" w:firstLine="70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2"/>
        <w:widowControl w:val="0"/>
        <w:keepNext w:val="0"/>
        <w:keepLines w:val="0"/>
        <w:shd w:val="clear" w:color="auto" w:fill="auto"/>
        <w:bidi w:val="0"/>
        <w:jc w:val="both"/>
        <w:spacing w:before="0" w:after="0" w:line="315" w:lineRule="exact"/>
        <w:ind w:left="40" w:right="40" w:firstLine="70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r>
        <w:br w:type="page"/>
      </w:r>
    </w:p>
    <w:p>
      <w:pPr>
        <w:pStyle w:val="Style12"/>
        <w:widowControl w:val="0"/>
        <w:keepNext w:val="0"/>
        <w:keepLines w:val="0"/>
        <w:shd w:val="clear" w:color="auto" w:fill="auto"/>
        <w:bidi w:val="0"/>
        <w:jc w:val="both"/>
        <w:spacing w:before="0" w:after="0" w:line="315" w:lineRule="exact"/>
        <w:ind w:left="20" w:right="20" w:firstLine="700"/>
        <w:sectPr>
          <w:type w:val="continuous"/>
          <w:pgSz w:w="11906" w:h="16838"/>
          <w:pgMar w:top="1270" w:left="725" w:right="725" w:bottom="1041" w:header="0" w:footer="3" w:gutter="229"/>
          <w:rtlGutter w:val="0"/>
          <w:cols w:space="720"/>
          <w:noEndnote/>
          <w:docGrid w:linePitch="360"/>
        </w:sectPr>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годаИ 727/14.</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w="3149" w:h="935" w:wrap="around" w:hAnchor="margin" w:x="-7840" w:y="4421"/>
        <w:widowControl w:val="0"/>
        <w:keepNext w:val="0"/>
        <w:keepLines w:val="0"/>
        <w:shd w:val="clear" w:color="auto" w:fill="auto"/>
        <w:bidi w:val="0"/>
        <w:jc w:val="left"/>
        <w:spacing w:before="0" w:after="431" w:line="240" w:lineRule="exact"/>
        <w:ind w:left="0" w:right="0" w:firstLine="0"/>
      </w:pPr>
      <w:r>
        <w:rPr>
          <w:rStyle w:val="CharStyle39"/>
          <w:spacing w:val="0"/>
        </w:rPr>
        <w:t>Председатель Комиссии</w:t>
      </w:r>
    </w:p>
    <w:p>
      <w:pPr>
        <w:pStyle w:val="Style9"/>
        <w:framePr w:w="3149" w:h="935" w:wrap="around" w:hAnchor="margin" w:x="-7840" w:y="4421"/>
        <w:widowControl w:val="0"/>
        <w:keepNext w:val="0"/>
        <w:keepLines w:val="0"/>
        <w:shd w:val="clear" w:color="auto" w:fill="auto"/>
        <w:bidi w:val="0"/>
        <w:jc w:val="left"/>
        <w:spacing w:before="0" w:after="0" w:line="240" w:lineRule="exact"/>
        <w:ind w:left="0" w:right="0" w:firstLine="0"/>
      </w:pPr>
      <w:r>
        <w:rPr>
          <w:rStyle w:val="CharStyle39"/>
          <w:spacing w:val="0"/>
        </w:rPr>
        <w:t>Члены Комиссии:</w:t>
      </w:r>
    </w:p>
    <w:p>
      <w:pPr>
        <w:pStyle w:val="Style9"/>
        <w:widowControl w:val="0"/>
        <w:keepNext w:val="0"/>
        <w:keepLines w:val="0"/>
        <w:shd w:val="clear" w:color="auto" w:fill="auto"/>
        <w:bidi w:val="0"/>
        <w:jc w:val="right"/>
        <w:spacing w:before="0" w:after="0" w:line="687" w:lineRule="exact"/>
        <w:ind w:left="0" w:right="380" w:firstLine="0"/>
      </w:pPr>
      <w:r>
        <w:rPr>
          <w:lang w:val="ru-RU" w:eastAsia="ru-RU" w:bidi="ru-RU"/>
          <w:w w:val="100"/>
          <w:spacing w:val="0"/>
          <w:color w:val="000000"/>
          <w:position w:val="0"/>
        </w:rPr>
        <w:t xml:space="preserve">В.В. Мехтиев </w:t>
      </w:r>
      <w:r>
        <w:rPr>
          <w:rStyle w:val="CharStyle26"/>
        </w:rPr>
        <w:t xml:space="preserve">В.М. </w:t>
      </w:r>
      <w:r>
        <w:rPr>
          <w:lang w:val="ru-RU" w:eastAsia="ru-RU" w:bidi="ru-RU"/>
          <w:w w:val="100"/>
          <w:spacing w:val="0"/>
          <w:color w:val="000000"/>
          <w:position w:val="0"/>
        </w:rPr>
        <w:t xml:space="preserve">Крутова Е.С. </w:t>
      </w:r>
      <w:r>
        <w:rPr>
          <w:rStyle w:val="CharStyle26"/>
        </w:rPr>
        <w:t>Малолетнее</w:t>
      </w:r>
    </w:p>
    <w:sectPr>
      <w:type w:val="continuous"/>
      <w:pgSz w:w="11906" w:h="16838"/>
      <w:pgMar w:top="5348" w:left="8745" w:right="653" w:bottom="511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9.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3.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6">
    <w:name w:val="Заголовок №1_"/>
    <w:basedOn w:val="DefaultParagraphFont"/>
    <w:link w:val="Style5"/>
    <w:rPr>
      <w:lang w:val="en-US" w:eastAsia="en-US" w:bidi="en-US"/>
      <w:b/>
      <w:bCs/>
      <w:i w:val="0"/>
      <w:iCs w:val="0"/>
      <w:u w:val="none"/>
      <w:strike w:val="0"/>
      <w:smallCaps w:val="0"/>
      <w:sz w:val="50"/>
      <w:szCs w:val="50"/>
      <w:rFonts w:ascii="Times New Roman" w:eastAsia="Times New Roman" w:hAnsi="Times New Roman" w:cs="Times New Roman"/>
    </w:rPr>
  </w:style>
  <w:style w:type="character" w:customStyle="1" w:styleId="CharStyle8">
    <w:name w:val="Основной текст (2)_"/>
    <w:basedOn w:val="DefaultParagraphFont"/>
    <w:link w:val="Style7"/>
    <w:rPr>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11,5 pt"/>
    <w:basedOn w:val="CharStyle10"/>
    <w:rPr>
      <w:lang w:val="ru-RU" w:eastAsia="ru-RU" w:bidi="ru-RU"/>
      <w:sz w:val="23"/>
      <w:szCs w:val="23"/>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2)"/>
    <w:basedOn w:val="CharStyle8"/>
    <w:rPr>
      <w:lang w:val="en-US" w:eastAsia="en-US" w:bidi="en-US"/>
      <w:u w:val="single"/>
      <w:w w:val="100"/>
      <w:spacing w:val="0"/>
      <w:color w:val="000000"/>
      <w:position w:val="0"/>
    </w:rPr>
  </w:style>
  <w:style w:type="character" w:customStyle="1" w:styleId="CharStyle16">
    <w:name w:val="Основной текст (4)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4)"/>
    <w:basedOn w:val="CharStyle16"/>
    <w:rPr>
      <w:lang w:val="ru-RU" w:eastAsia="ru-RU" w:bidi="ru-RU"/>
      <w:u w:val="single"/>
      <w:w w:val="100"/>
      <w:spacing w:val="0"/>
      <w:color w:val="000000"/>
      <w:position w:val="0"/>
    </w:rPr>
  </w:style>
  <w:style w:type="character" w:customStyle="1" w:styleId="CharStyle18">
    <w:name w:val="Основной текст"/>
    <w:basedOn w:val="CharStyle10"/>
    <w:rPr>
      <w:lang w:val="en-US" w:eastAsia="en-US" w:bidi="en-US"/>
      <w:u w:val="single"/>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6)"/>
    <w:basedOn w:val="CharStyle20"/>
    <w:rPr>
      <w:lang w:val="ru-RU" w:eastAsia="ru-RU" w:bidi="ru-RU"/>
      <w:w w:val="100"/>
      <w:spacing w:val="0"/>
      <w:color w:val="000000"/>
      <w:position w:val="0"/>
    </w:rPr>
  </w:style>
  <w:style w:type="character" w:customStyle="1" w:styleId="CharStyle22">
    <w:name w:val="Основной текст (6)"/>
    <w:basedOn w:val="CharStyle20"/>
    <w:rPr>
      <w:lang w:val="en-US" w:eastAsia="en-US" w:bidi="en-US"/>
      <w:u w:val="single"/>
      <w:w w:val="100"/>
      <w:spacing w:val="0"/>
      <w:color w:val="000000"/>
      <w:position w:val="0"/>
    </w:rPr>
  </w:style>
  <w:style w:type="character" w:customStyle="1" w:styleId="CharStyle23">
    <w:name w:val="Основной текст (6) + 10 pt"/>
    <w:basedOn w:val="CharStyle20"/>
    <w:rPr>
      <w:lang w:val="ru-RU" w:eastAsia="ru-RU" w:bidi="ru-RU"/>
      <w:sz w:val="20"/>
      <w:szCs w:val="20"/>
      <w:w w:val="100"/>
      <w:spacing w:val="0"/>
      <w:color w:val="000000"/>
      <w:position w:val="0"/>
    </w:rPr>
  </w:style>
  <w:style w:type="character" w:customStyle="1" w:styleId="CharStyle24">
    <w:name w:val="Основной текст (6)"/>
    <w:basedOn w:val="CharStyle20"/>
    <w:rPr>
      <w:lang w:val="ru-RU" w:eastAsia="ru-RU" w:bidi="ru-RU"/>
      <w:w w:val="100"/>
      <w:spacing w:val="0"/>
      <w:color w:val="000000"/>
      <w:position w:val="0"/>
    </w:rPr>
  </w:style>
  <w:style w:type="character" w:customStyle="1" w:styleId="CharStyle25">
    <w:name w:val="Основной текст"/>
    <w:basedOn w:val="CharStyle10"/>
    <w:rPr>
      <w:lang w:val="ru-RU" w:eastAsia="ru-RU" w:bidi="ru-RU"/>
      <w:w w:val="100"/>
      <w:spacing w:val="0"/>
      <w:color w:val="000000"/>
      <w:position w:val="0"/>
    </w:rPr>
  </w:style>
  <w:style w:type="character" w:customStyle="1" w:styleId="CharStyle26">
    <w:name w:val="Основной текст"/>
    <w:basedOn w:val="CharStyle10"/>
    <w:rPr>
      <w:lang w:val="ru-RU" w:eastAsia="ru-RU" w:bidi="ru-RU"/>
      <w:w w:val="100"/>
      <w:spacing w:val="0"/>
      <w:color w:val="000000"/>
      <w:position w:val="0"/>
    </w:rPr>
  </w:style>
  <w:style w:type="character" w:customStyle="1" w:styleId="CharStyle27">
    <w:name w:val="Основной текст + Курсив"/>
    <w:basedOn w:val="CharStyle10"/>
    <w:rPr>
      <w:lang w:val="ru-RU" w:eastAsia="ru-RU" w:bidi="ru-RU"/>
      <w:i/>
      <w:iCs/>
      <w:w w:val="100"/>
      <w:spacing w:val="0"/>
      <w:color w:val="000000"/>
      <w:position w:val="0"/>
    </w:rPr>
  </w:style>
  <w:style w:type="character" w:customStyle="1" w:styleId="CharStyle29">
    <w:name w:val="Заголовок №2_"/>
    <w:basedOn w:val="DefaultParagraphFont"/>
    <w:link w:val="Style28"/>
    <w:rPr>
      <w:b w:val="0"/>
      <w:bCs w:val="0"/>
      <w:i/>
      <w:iCs/>
      <w:u w:val="none"/>
      <w:strike w:val="0"/>
      <w:smallCaps w:val="0"/>
      <w:sz w:val="21"/>
      <w:szCs w:val="21"/>
      <w:rFonts w:ascii="Lucida Sans Unicode" w:eastAsia="Lucida Sans Unicode" w:hAnsi="Lucida Sans Unicode" w:cs="Lucida Sans Unicode"/>
    </w:rPr>
  </w:style>
  <w:style w:type="character" w:customStyle="1" w:styleId="CharStyle30">
    <w:name w:val="Заголовок №2 + Times New Roman,Полужирный"/>
    <w:basedOn w:val="CharStyle29"/>
    <w:rPr>
      <w:lang w:val="ru-RU" w:eastAsia="ru-RU" w:bidi="ru-RU"/>
      <w:b/>
      <w:bCs/>
      <w:rFonts w:ascii="Times New Roman" w:eastAsia="Times New Roman" w:hAnsi="Times New Roman" w:cs="Times New Roman"/>
      <w:w w:val="100"/>
      <w:spacing w:val="0"/>
      <w:color w:val="000000"/>
      <w:position w:val="0"/>
    </w:rPr>
  </w:style>
  <w:style w:type="character" w:customStyle="1" w:styleId="CharStyle31">
    <w:name w:val="Основной текст + 11 pt,Курсив"/>
    <w:basedOn w:val="CharStyle10"/>
    <w:rPr>
      <w:lang w:val="ru-RU" w:eastAsia="ru-RU" w:bidi="ru-RU"/>
      <w:i/>
      <w:iCs/>
      <w:sz w:val="22"/>
      <w:szCs w:val="22"/>
      <w:w w:val="100"/>
      <w:spacing w:val="0"/>
      <w:color w:val="000000"/>
      <w:position w:val="0"/>
    </w:rPr>
  </w:style>
  <w:style w:type="character" w:customStyle="1" w:styleId="CharStyle33">
    <w:name w:val="Основной текст (7)_"/>
    <w:basedOn w:val="DefaultParagraphFont"/>
    <w:link w:val="Style32"/>
    <w:rPr>
      <w:b w:val="0"/>
      <w:bCs w:val="0"/>
      <w:i/>
      <w:iCs/>
      <w:u w:val="none"/>
      <w:strike w:val="0"/>
      <w:smallCaps w:val="0"/>
      <w:sz w:val="26"/>
      <w:szCs w:val="26"/>
      <w:rFonts w:ascii="Times New Roman" w:eastAsia="Times New Roman" w:hAnsi="Times New Roman" w:cs="Times New Roman"/>
    </w:rPr>
  </w:style>
  <w:style w:type="character" w:customStyle="1" w:styleId="CharStyle34">
    <w:name w:val="Основной текст (7) + Не курсив"/>
    <w:basedOn w:val="CharStyle33"/>
    <w:rPr>
      <w:lang w:val="ru-RU" w:eastAsia="ru-RU" w:bidi="ru-RU"/>
      <w:i/>
      <w:iCs/>
      <w:w w:val="100"/>
      <w:spacing w:val="0"/>
      <w:color w:val="000000"/>
      <w:position w:val="0"/>
    </w:rPr>
  </w:style>
  <w:style w:type="character" w:customStyle="1" w:styleId="CharStyle36">
    <w:name w:val="Заголовок №3_"/>
    <w:basedOn w:val="DefaultParagraphFont"/>
    <w:link w:val="Style35"/>
    <w:rPr>
      <w:b w:val="0"/>
      <w:bCs w:val="0"/>
      <w:i/>
      <w:iCs/>
      <w:u w:val="none"/>
      <w:strike w:val="0"/>
      <w:smallCaps w:val="0"/>
      <w:sz w:val="26"/>
      <w:szCs w:val="26"/>
      <w:rFonts w:ascii="Times New Roman" w:eastAsia="Times New Roman" w:hAnsi="Times New Roman" w:cs="Times New Roman"/>
      <w:spacing w:val="10"/>
    </w:rPr>
  </w:style>
  <w:style w:type="character" w:customStyle="1" w:styleId="CharStyle38">
    <w:name w:val="Заголовок №4_"/>
    <w:basedOn w:val="DefaultParagraphFont"/>
    <w:link w:val="Style37"/>
    <w:rPr>
      <w:b/>
      <w:bCs/>
      <w:i w:val="0"/>
      <w:iCs w:val="0"/>
      <w:u w:val="none"/>
      <w:strike w:val="0"/>
      <w:smallCaps w:val="0"/>
      <w:sz w:val="26"/>
      <w:szCs w:val="26"/>
      <w:rFonts w:ascii="Times New Roman" w:eastAsia="Times New Roman" w:hAnsi="Times New Roman" w:cs="Times New Roman"/>
      <w:spacing w:val="60"/>
    </w:rPr>
  </w:style>
  <w:style w:type="character" w:customStyle="1" w:styleId="CharStyle39">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after="540" w:line="0" w:lineRule="exact"/>
    </w:pPr>
    <w:rPr>
      <w:lang w:val="en-US" w:eastAsia="en-US" w:bidi="en-US"/>
      <w:b/>
      <w:bCs/>
      <w:i w:val="0"/>
      <w:iCs w:val="0"/>
      <w:u w:val="none"/>
      <w:strike w:val="0"/>
      <w:smallCaps w:val="0"/>
      <w:sz w:val="50"/>
      <w:szCs w:val="5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540" w:after="120" w:line="27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line="27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1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both"/>
      <w:spacing w:line="35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both"/>
      <w:outlineLvl w:val="1"/>
      <w:spacing w:after="60" w:line="0" w:lineRule="exact"/>
      <w:ind w:firstLine="700"/>
    </w:pPr>
    <w:rPr>
      <w:b w:val="0"/>
      <w:bCs w:val="0"/>
      <w:i/>
      <w:iCs/>
      <w:u w:val="none"/>
      <w:strike w:val="0"/>
      <w:smallCaps w:val="0"/>
      <w:sz w:val="21"/>
      <w:szCs w:val="21"/>
      <w:rFonts w:ascii="Lucida Sans Unicode" w:eastAsia="Lucida Sans Unicode" w:hAnsi="Lucida Sans Unicode" w:cs="Lucida Sans Unicode"/>
    </w:rPr>
  </w:style>
  <w:style w:type="paragraph" w:customStyle="1" w:styleId="Style32">
    <w:name w:val="Основной текст (7)"/>
    <w:basedOn w:val="Normal"/>
    <w:link w:val="CharStyle33"/>
    <w:pPr>
      <w:widowControl w:val="0"/>
      <w:shd w:val="clear" w:color="auto" w:fill="FFFFFF"/>
      <w:jc w:val="both"/>
      <w:spacing w:before="360" w:line="367"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5">
    <w:name w:val="Заголовок №3"/>
    <w:basedOn w:val="Normal"/>
    <w:link w:val="CharStyle36"/>
    <w:pPr>
      <w:widowControl w:val="0"/>
      <w:shd w:val="clear" w:color="auto" w:fill="FFFFFF"/>
      <w:jc w:val="both"/>
      <w:outlineLvl w:val="2"/>
      <w:spacing w:after="60" w:line="0" w:lineRule="exact"/>
      <w:ind w:firstLine="700"/>
    </w:pPr>
    <w:rPr>
      <w:b w:val="0"/>
      <w:bCs w:val="0"/>
      <w:i/>
      <w:iCs/>
      <w:u w:val="none"/>
      <w:strike w:val="0"/>
      <w:smallCaps w:val="0"/>
      <w:sz w:val="26"/>
      <w:szCs w:val="26"/>
      <w:rFonts w:ascii="Times New Roman" w:eastAsia="Times New Roman" w:hAnsi="Times New Roman" w:cs="Times New Roman"/>
      <w:spacing w:val="10"/>
    </w:rPr>
  </w:style>
  <w:style w:type="paragraph" w:customStyle="1" w:styleId="Style37">
    <w:name w:val="Заголовок №4"/>
    <w:basedOn w:val="Normal"/>
    <w:link w:val="CharStyle38"/>
    <w:pPr>
      <w:widowControl w:val="0"/>
      <w:shd w:val="clear" w:color="auto" w:fill="FFFFFF"/>
      <w:outlineLvl w:val="3"/>
      <w:spacing w:before="180" w:after="240" w:line="0" w:lineRule="exact"/>
    </w:pPr>
    <w:rPr>
      <w:b/>
      <w:bCs/>
      <w:i w:val="0"/>
      <w:iCs w:val="0"/>
      <w:u w:val="none"/>
      <w:strike w:val="0"/>
      <w:smallCaps w:val="0"/>
      <w:sz w:val="26"/>
      <w:szCs w:val="26"/>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