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70" w:wrap="around" w:vAnchor="text" w:hAnchor="margin" w:x="-186" w:y="4237"/>
        <w:widowControl w:val="0"/>
        <w:keepNext w:val="0"/>
        <w:keepLines w:val="0"/>
        <w:shd w:val="clear" w:color="auto" w:fill="auto"/>
        <w:bidi w:val="0"/>
        <w:jc w:val="left"/>
        <w:spacing w:before="0" w:after="0" w:line="170" w:lineRule="exact"/>
        <w:ind w:left="0" w:right="0" w:firstLine="0"/>
      </w:pPr>
      <w:r>
        <w:rPr>
          <w:rStyle w:val="CharStyle5"/>
          <w:spacing w:val="0"/>
        </w:rPr>
        <w:t xml:space="preserve">на </w:t>
      </w:r>
      <w:r>
        <w:rPr>
          <w:rStyle w:val="CharStyle4"/>
          <w:spacing w:val="0"/>
        </w:rPr>
        <w:t>№</w:t>
      </w:r>
    </w:p>
    <w:p>
      <w:pPr>
        <w:widowControl w:val="0"/>
        <w:rPr>
          <w:sz w:val="2"/>
          <w:szCs w:val="2"/>
        </w:rPr>
      </w:pPr>
    </w:p>
    <w:p>
      <w:pPr>
        <w:pStyle w:val="Style6"/>
        <w:widowControl w:val="0"/>
        <w:keepNext w:val="0"/>
        <w:keepLines w:val="0"/>
        <w:shd w:val="clear" w:color="auto" w:fill="auto"/>
        <w:bidi w:val="0"/>
        <w:spacing w:before="319" w:after="469"/>
        <w:ind w:left="40" w:right="0" w:firstLine="0"/>
      </w:pPr>
      <w:r>
        <w:rPr>
          <w:rStyle w:val="CharStyle8"/>
          <w:b/>
          <w:bCs/>
        </w:rPr>
        <w:t>ФЕДЕРАЛЬНАЯ АНТИМОНОПОЛЬНАЯ СЛУЖБА</w:t>
      </w:r>
    </w:p>
    <w:p>
      <w:pPr>
        <w:pStyle w:val="Style9"/>
        <w:widowControl w:val="0"/>
        <w:keepNext w:val="0"/>
        <w:keepLines w:val="0"/>
        <w:shd w:val="clear" w:color="auto" w:fill="auto"/>
        <w:bidi w:val="0"/>
        <w:spacing w:before="0" w:after="0" w:line="240" w:lineRule="exact"/>
        <w:ind w:left="40" w:right="0" w:firstLine="0"/>
      </w:pPr>
      <w:r>
        <w:rPr>
          <w:rStyle w:val="CharStyle11"/>
          <w:b/>
          <w:bCs/>
        </w:rPr>
        <w:t>УПРАВЛЕНИЕ</w:t>
      </w:r>
    </w:p>
    <w:p>
      <w:pPr>
        <w:pStyle w:val="Style6"/>
        <w:widowControl w:val="0"/>
        <w:keepNext w:val="0"/>
        <w:keepLines w:val="0"/>
        <w:shd w:val="clear" w:color="auto" w:fill="auto"/>
        <w:bidi w:val="0"/>
        <w:spacing w:before="0" w:after="0"/>
        <w:ind w:left="40" w:right="0" w:firstLine="0"/>
      </w:pPr>
      <w:r>
        <w:rPr>
          <w:rStyle w:val="CharStyle8"/>
          <w:b/>
          <w:bCs/>
        </w:rPr>
        <w:t>Федеральной антимонопольной службы по Смоленской области</w:t>
      </w:r>
    </w:p>
    <w:p>
      <w:pPr>
        <w:pStyle w:val="Style12"/>
        <w:widowControl w:val="0"/>
        <w:keepNext w:val="0"/>
        <w:keepLines w:val="0"/>
        <w:shd w:val="clear" w:color="auto" w:fill="auto"/>
        <w:bidi w:val="0"/>
        <w:spacing w:before="0" w:after="0"/>
        <w:ind w:left="40" w:right="0" w:firstLine="0"/>
      </w:pPr>
      <w:r>
        <w:rPr>
          <w:rStyle w:val="CharStyle14"/>
        </w:rPr>
        <w:t xml:space="preserve">ул. Октябрьской Революции, 14а, г. Смоленск, </w:t>
      </w:r>
      <w:r>
        <w:rPr>
          <w:lang w:val="ru-RU" w:eastAsia="ru-RU" w:bidi="ru-RU"/>
          <w:w w:val="100"/>
          <w:spacing w:val="0"/>
          <w:color w:val="000000"/>
          <w:position w:val="0"/>
        </w:rPr>
        <w:t xml:space="preserve">214000 </w:t>
      </w:r>
      <w:r>
        <w:rPr>
          <w:rStyle w:val="CharStyle14"/>
        </w:rPr>
        <w:t xml:space="preserve">тел. (4812) </w:t>
      </w:r>
      <w:r>
        <w:rPr>
          <w:lang w:val="ru-RU" w:eastAsia="ru-RU" w:bidi="ru-RU"/>
          <w:w w:val="100"/>
          <w:spacing w:val="0"/>
          <w:color w:val="000000"/>
          <w:position w:val="0"/>
        </w:rPr>
        <w:t xml:space="preserve">38-62-22, </w:t>
      </w:r>
      <w:r>
        <w:rPr>
          <w:rStyle w:val="CharStyle14"/>
        </w:rPr>
        <w:t xml:space="preserve">факс (4812) </w:t>
      </w:r>
      <w:r>
        <w:rPr>
          <w:lang w:val="ru-RU" w:eastAsia="ru-RU" w:bidi="ru-RU"/>
          <w:w w:val="100"/>
          <w:spacing w:val="0"/>
          <w:color w:val="000000"/>
          <w:position w:val="0"/>
        </w:rPr>
        <w:t xml:space="preserve">38-62-22 </w:t>
      </w:r>
      <w:r>
        <w:rPr>
          <w:rStyle w:val="CharStyle14"/>
          <w:lang w:val="en-US" w:eastAsia="en-US" w:bidi="en-US"/>
        </w:rPr>
        <w:t xml:space="preserve">e-mail: </w:t>
      </w:r>
      <w:r>
        <w:fldChar w:fldCharType="begin"/>
      </w:r>
      <w:r>
        <w:rPr>
          <w:rStyle w:val="CharStyle14"/>
        </w:rPr>
        <w:instrText> HYPERLINK "mailto:to67@fas.gov.ru" </w:instrText>
      </w:r>
      <w:r>
        <w:fldChar w:fldCharType="separate"/>
      </w:r>
      <w:r>
        <w:rPr>
          <w:rStyle w:val="Hyperlink"/>
          <w:lang w:val="en-US" w:eastAsia="en-US" w:bidi="en-US"/>
        </w:rPr>
        <w:t>to67@fas.gov.ru</w:t>
      </w:r>
      <w:r>
        <w:fldChar w:fldCharType="end"/>
      </w:r>
    </w:p>
    <w:p>
      <w:pPr>
        <w:pStyle w:val="Style15"/>
        <w:tabs>
          <w:tab w:leader="none" w:pos="2688" w:val="right"/>
          <w:tab w:leader="none" w:pos="3850" w:val="right"/>
        </w:tabs>
        <w:widowControl w:val="0"/>
        <w:keepNext/>
        <w:keepLines/>
        <w:shd w:val="clear" w:color="auto" w:fill="auto"/>
        <w:bidi w:val="0"/>
        <w:spacing w:before="0" w:after="187" w:line="600" w:lineRule="exact"/>
        <w:ind w:left="0" w:right="0" w:firstLine="0"/>
      </w:pPr>
      <w:bookmarkStart w:id="0" w:name="bookmark0"/>
      <w:r>
        <w:rPr>
          <w:rStyle w:val="CharStyle17"/>
          <w:lang w:val="ru-RU" w:eastAsia="ru-RU" w:bidi="ru-RU"/>
        </w:rPr>
        <w:t xml:space="preserve">/£ </w:t>
      </w:r>
      <w:r>
        <w:rPr>
          <w:rStyle w:val="CharStyle18"/>
        </w:rPr>
        <w:t>О/. ;</w:t>
      </w:r>
      <w:r>
        <w:rPr>
          <w:rStyle w:val="CharStyle17"/>
          <w:lang w:val="ru-RU" w:eastAsia="ru-RU" w:bidi="ru-RU"/>
        </w:rPr>
        <w:tab/>
      </w:r>
      <w:r>
        <w:rPr>
          <w:rStyle w:val="CharStyle19"/>
        </w:rPr>
        <w:t>л,</w:t>
        <w:tab/>
      </w:r>
      <w:r>
        <w:rPr>
          <w:rStyle w:val="CharStyle17"/>
        </w:rPr>
        <w:t>-py/feg</w:t>
      </w:r>
      <w:bookmarkEnd w:id="0"/>
    </w:p>
    <w:p>
      <w:pPr>
        <w:pStyle w:val="Style3"/>
        <w:widowControl w:val="0"/>
        <w:keepNext w:val="0"/>
        <w:keepLines w:val="0"/>
        <w:shd w:val="clear" w:color="auto" w:fill="auto"/>
        <w:bidi w:val="0"/>
        <w:jc w:val="left"/>
        <w:spacing w:before="0" w:after="0" w:line="180" w:lineRule="exact"/>
        <w:ind w:left="1900" w:right="0" w:firstLine="0"/>
      </w:pPr>
      <w:r>
        <w:rPr>
          <w:lang w:val="ru-RU" w:eastAsia="ru-RU" w:bidi="ru-RU"/>
          <w:w w:val="100"/>
          <w:spacing w:val="0"/>
          <w:color w:val="000000"/>
          <w:position w:val="0"/>
        </w:rPr>
        <w:t>от</w:t>
      </w:r>
    </w:p>
    <w:p>
      <w:pPr>
        <w:pStyle w:val="Style9"/>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Государственному заказчику -</w:t>
      </w:r>
    </w:p>
    <w:p>
      <w:pPr>
        <w:pStyle w:val="Style21"/>
        <w:widowControl w:val="0"/>
        <w:keepNext w:val="0"/>
        <w:keepLines w:val="0"/>
        <w:shd w:val="clear" w:color="auto" w:fill="auto"/>
        <w:bidi w:val="0"/>
        <w:jc w:val="left"/>
        <w:spacing w:before="0" w:after="11" w:line="240" w:lineRule="exact"/>
        <w:ind w:left="0" w:right="0" w:firstLine="0"/>
      </w:pPr>
      <w:r>
        <w:rPr>
          <w:lang w:val="ru-RU" w:eastAsia="ru-RU" w:bidi="ru-RU"/>
          <w:sz w:val="24"/>
          <w:szCs w:val="24"/>
          <w:w w:val="100"/>
          <w:spacing w:val="0"/>
          <w:color w:val="000000"/>
          <w:position w:val="0"/>
        </w:rPr>
        <w:t>ОГКУ «Управление капитального</w:t>
      </w:r>
    </w:p>
    <w:p>
      <w:pPr>
        <w:pStyle w:val="Style6"/>
        <w:widowControl w:val="0"/>
        <w:keepNext w:val="0"/>
        <w:keepLines w:val="0"/>
        <w:shd w:val="clear" w:color="auto" w:fill="auto"/>
        <w:bidi w:val="0"/>
        <w:jc w:val="left"/>
        <w:spacing w:before="0" w:after="250" w:line="235" w:lineRule="exact"/>
        <w:ind w:left="0" w:right="0" w:firstLine="0"/>
      </w:pPr>
      <w:r>
        <w:rPr>
          <w:rStyle w:val="CharStyle23"/>
          <w:b w:val="0"/>
          <w:bCs w:val="0"/>
        </w:rPr>
        <w:t xml:space="preserve">строительства Смоленской области» </w:t>
      </w:r>
      <w:r>
        <w:rPr>
          <w:lang w:val="ru-RU" w:eastAsia="ru-RU" w:bidi="ru-RU"/>
          <w:w w:val="100"/>
          <w:spacing w:val="0"/>
          <w:color w:val="000000"/>
          <w:position w:val="0"/>
        </w:rPr>
        <w:t xml:space="preserve">ул. Октябрьской революции, д. 14а, г. Смоленск, 214000 </w:t>
      </w:r>
      <w:r>
        <w:fldChar w:fldCharType="begin"/>
      </w:r>
      <w:r>
        <w:rPr>
          <w:color w:val="000000"/>
        </w:rPr>
        <w:instrText> HYPERLINK "mailto:kap_stroi@admin-smolensk.ru" </w:instrText>
      </w:r>
      <w:r>
        <w:fldChar w:fldCharType="separate"/>
      </w:r>
      <w:r>
        <w:rPr>
          <w:rStyle w:val="Hyperlink"/>
          <w:lang w:val="en-US" w:eastAsia="en-US" w:bidi="en-US"/>
          <w:w w:val="100"/>
          <w:spacing w:val="0"/>
          <w:position w:val="0"/>
        </w:rPr>
        <w:t>kap_stroi@admin-smolensk.ru</w:t>
      </w:r>
      <w:r>
        <w:fldChar w:fldCharType="end"/>
      </w:r>
    </w:p>
    <w:p>
      <w:pPr>
        <w:pStyle w:val="Style9"/>
        <w:widowControl w:val="0"/>
        <w:keepNext w:val="0"/>
        <w:keepLines w:val="0"/>
        <w:shd w:val="clear" w:color="auto" w:fill="auto"/>
        <w:bidi w:val="0"/>
        <w:jc w:val="left"/>
        <w:spacing w:before="0" w:after="0" w:line="298" w:lineRule="exact"/>
        <w:ind w:left="0" w:right="0" w:firstLine="0"/>
      </w:pPr>
      <w:r>
        <w:rPr>
          <w:lang w:val="ru-RU" w:eastAsia="ru-RU" w:bidi="ru-RU"/>
          <w:sz w:val="24"/>
          <w:szCs w:val="24"/>
          <w:w w:val="100"/>
          <w:spacing w:val="0"/>
          <w:color w:val="000000"/>
          <w:position w:val="0"/>
        </w:rPr>
        <w:t>Уполномоченному органу -</w:t>
      </w:r>
    </w:p>
    <w:p>
      <w:pPr>
        <w:pStyle w:val="Style21"/>
        <w:widowControl w:val="0"/>
        <w:keepNext w:val="0"/>
        <w:keepLines w:val="0"/>
        <w:shd w:val="clear" w:color="auto" w:fill="auto"/>
        <w:bidi w:val="0"/>
        <w:jc w:val="left"/>
        <w:spacing w:before="0" w:after="0" w:line="298" w:lineRule="exact"/>
        <w:ind w:left="0" w:right="0" w:firstLine="0"/>
      </w:pPr>
      <w:r>
        <w:rPr>
          <w:lang w:val="ru-RU" w:eastAsia="ru-RU" w:bidi="ru-RU"/>
          <w:sz w:val="24"/>
          <w:szCs w:val="24"/>
          <w:w w:val="100"/>
          <w:spacing w:val="0"/>
          <w:color w:val="000000"/>
          <w:position w:val="0"/>
        </w:rPr>
        <w:t>Главному управлению Смоленской области по</w:t>
      </w:r>
    </w:p>
    <w:p>
      <w:pPr>
        <w:pStyle w:val="Style21"/>
        <w:widowControl w:val="0"/>
        <w:keepNext w:val="0"/>
        <w:keepLines w:val="0"/>
        <w:shd w:val="clear" w:color="auto" w:fill="auto"/>
        <w:bidi w:val="0"/>
        <w:jc w:val="left"/>
        <w:spacing w:before="0" w:after="0" w:line="298" w:lineRule="exact"/>
        <w:ind w:left="0" w:right="0" w:firstLine="0"/>
      </w:pPr>
      <w:r>
        <w:rPr>
          <w:lang w:val="ru-RU" w:eastAsia="ru-RU" w:bidi="ru-RU"/>
          <w:sz w:val="24"/>
          <w:szCs w:val="24"/>
          <w:w w:val="100"/>
          <w:spacing w:val="0"/>
          <w:color w:val="000000"/>
          <w:position w:val="0"/>
        </w:rPr>
        <w:t>регулированию контрактной системы</w:t>
      </w:r>
    </w:p>
    <w:p>
      <w:pPr>
        <w:pStyle w:val="Style6"/>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пл. Ленина, д.1, оф.321,</w:t>
      </w:r>
    </w:p>
    <w:p>
      <w:pPr>
        <w:pStyle w:val="Style6"/>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г. Смоленск, 214008</w:t>
      </w:r>
    </w:p>
    <w:p>
      <w:pPr>
        <w:pStyle w:val="Style6"/>
        <w:widowControl w:val="0"/>
        <w:keepNext w:val="0"/>
        <w:keepLines w:val="0"/>
        <w:shd w:val="clear" w:color="auto" w:fill="auto"/>
        <w:bidi w:val="0"/>
        <w:jc w:val="left"/>
        <w:spacing w:before="0" w:after="292" w:line="230" w:lineRule="exact"/>
        <w:ind w:left="0" w:right="0" w:firstLine="0"/>
      </w:pPr>
      <w:r>
        <w:fldChar w:fldCharType="begin"/>
      </w:r>
      <w:r>
        <w:rPr>
          <w:color w:val="000000"/>
        </w:rPr>
        <w:instrText> HYPERLINK "mailto:goszakaz@admin-smolensk.ru" </w:instrText>
      </w:r>
      <w:r>
        <w:fldChar w:fldCharType="separate"/>
      </w:r>
      <w:r>
        <w:rPr>
          <w:rStyle w:val="Hyperlink"/>
          <w:lang w:val="en-US" w:eastAsia="en-US" w:bidi="en-US"/>
          <w:w w:val="100"/>
          <w:spacing w:val="0"/>
          <w:position w:val="0"/>
        </w:rPr>
        <w:t>goszakaz@admin-smolensk.ru</w:t>
      </w:r>
      <w:r>
        <w:fldChar w:fldCharType="end"/>
      </w:r>
    </w:p>
    <w:p>
      <w:pPr>
        <w:pStyle w:val="Style9"/>
        <w:widowControl w:val="0"/>
        <w:keepNext w:val="0"/>
        <w:keepLines w:val="0"/>
        <w:shd w:val="clear" w:color="auto" w:fill="auto"/>
        <w:bidi w:val="0"/>
        <w:jc w:val="left"/>
        <w:spacing w:before="0" w:after="2" w:line="240" w:lineRule="exact"/>
        <w:ind w:left="0" w:right="0" w:firstLine="0"/>
      </w:pPr>
      <w:r>
        <w:rPr>
          <w:lang w:val="ru-RU" w:eastAsia="ru-RU" w:bidi="ru-RU"/>
          <w:sz w:val="24"/>
          <w:szCs w:val="24"/>
          <w:w w:val="100"/>
          <w:spacing w:val="0"/>
          <w:color w:val="000000"/>
          <w:position w:val="0"/>
        </w:rPr>
        <w:t>Заявителю -</w:t>
      </w:r>
    </w:p>
    <w:p>
      <w:pPr>
        <w:pStyle w:val="Style21"/>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ООО «КС-Строй»</w:t>
      </w:r>
    </w:p>
    <w:p>
      <w:pPr>
        <w:pStyle w:val="Style6"/>
        <w:widowControl w:val="0"/>
        <w:keepNext w:val="0"/>
        <w:keepLines w:val="0"/>
        <w:shd w:val="clear" w:color="auto" w:fill="auto"/>
        <w:bidi w:val="0"/>
        <w:jc w:val="left"/>
        <w:spacing w:before="0" w:after="0" w:line="230" w:lineRule="exact"/>
        <w:ind w:left="0" w:right="0" w:firstLine="0"/>
        <w:sectPr>
          <w:footnotePr>
            <w:pos w:val="pageBottom"/>
            <w:numFmt w:val="decimal"/>
            <w:numRestart w:val="continuous"/>
          </w:footnotePr>
          <w:type w:val="continuous"/>
          <w:pgSz w:w="11906" w:h="16838"/>
          <w:pgMar w:top="428" w:left="954" w:right="930" w:bottom="447" w:header="0" w:footer="3" w:gutter="0"/>
          <w:rtlGutter w:val="0"/>
          <w:cols w:num="2" w:space="720" w:equalWidth="0">
            <w:col w:w="3859" w:space="941"/>
            <w:col w:w="5222"/>
          </w:cols>
          <w:noEndnote/>
          <w:docGrid w:linePitch="360"/>
        </w:sectPr>
      </w:pPr>
      <w:r>
        <w:rPr>
          <w:lang w:val="ru-RU" w:eastAsia="ru-RU" w:bidi="ru-RU"/>
          <w:w w:val="100"/>
          <w:spacing w:val="0"/>
          <w:color w:val="000000"/>
          <w:position w:val="0"/>
        </w:rPr>
        <w:t xml:space="preserve">ул. Горно-Алтайская, 15-433, г. Барнаул, Алтайский край, 656037 </w:t>
      </w:r>
      <w:r>
        <w:fldChar w:fldCharType="begin"/>
      </w:r>
      <w:r>
        <w:rPr>
          <w:color w:val="000000"/>
        </w:rPr>
        <w:instrText> HYPERLINK "mailto:shastuni@inbox.ru" </w:instrText>
      </w:r>
      <w:r>
        <w:fldChar w:fldCharType="separate"/>
      </w:r>
      <w:r>
        <w:rPr>
          <w:rStyle w:val="Hyperlink"/>
          <w:lang w:val="en-US" w:eastAsia="en-US" w:bidi="en-US"/>
          <w:w w:val="100"/>
          <w:spacing w:val="0"/>
          <w:position w:val="0"/>
        </w:rPr>
        <w:t>shastuni@inbox.ru</w:t>
      </w:r>
      <w:r>
        <w:fldChar w:fldCharType="end"/>
      </w:r>
    </w:p>
    <w:p>
      <w:pPr>
        <w:widowControl w:val="0"/>
        <w:spacing w:line="240" w:lineRule="exact"/>
        <w:rPr>
          <w:sz w:val="19"/>
          <w:szCs w:val="19"/>
        </w:rPr>
      </w:pPr>
    </w:p>
    <w:p>
      <w:pPr>
        <w:widowControl w:val="0"/>
        <w:spacing w:before="60" w:after="6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0" w:line="298" w:lineRule="exact"/>
        <w:ind w:left="200" w:right="0" w:firstLine="0"/>
      </w:pPr>
      <w:r>
        <w:rPr>
          <w:lang w:val="ru-RU" w:eastAsia="ru-RU" w:bidi="ru-RU"/>
          <w:sz w:val="24"/>
          <w:szCs w:val="24"/>
          <w:w w:val="100"/>
          <w:spacing w:val="0"/>
          <w:color w:val="000000"/>
          <w:position w:val="0"/>
        </w:rPr>
        <w:t>РЕШЕНИЕ</w:t>
      </w:r>
    </w:p>
    <w:p>
      <w:pPr>
        <w:pStyle w:val="Style21"/>
        <w:widowControl w:val="0"/>
        <w:keepNext w:val="0"/>
        <w:keepLines w:val="0"/>
        <w:shd w:val="clear" w:color="auto" w:fill="auto"/>
        <w:bidi w:val="0"/>
        <w:jc w:val="center"/>
        <w:spacing w:before="0" w:after="106" w:line="298" w:lineRule="exact"/>
        <w:ind w:left="200" w:right="0" w:firstLine="0"/>
      </w:pPr>
      <w:r>
        <w:rPr>
          <w:lang w:val="ru-RU" w:eastAsia="ru-RU" w:bidi="ru-RU"/>
          <w:sz w:val="24"/>
          <w:szCs w:val="24"/>
          <w:w w:val="100"/>
          <w:spacing w:val="0"/>
          <w:color w:val="000000"/>
          <w:position w:val="0"/>
        </w:rPr>
        <w:t>по делу №067/06/64-295/2019 о нарушении законодательства Российской Федерации о контрактной системе</w:t>
      </w:r>
    </w:p>
    <w:p>
      <w:pPr>
        <w:pStyle w:val="Style21"/>
        <w:tabs>
          <w:tab w:leader="none" w:pos="8862" w:val="left"/>
        </w:tabs>
        <w:widowControl w:val="0"/>
        <w:keepNext w:val="0"/>
        <w:keepLines w:val="0"/>
        <w:shd w:val="clear" w:color="auto" w:fill="auto"/>
        <w:bidi w:val="0"/>
        <w:jc w:val="both"/>
        <w:spacing w:before="0" w:after="73" w:line="240" w:lineRule="exact"/>
        <w:ind w:left="20" w:right="0" w:firstLine="0"/>
      </w:pPr>
      <w:r>
        <w:rPr>
          <w:lang w:val="ru-RU" w:eastAsia="ru-RU" w:bidi="ru-RU"/>
          <w:sz w:val="24"/>
          <w:szCs w:val="24"/>
          <w:w w:val="100"/>
          <w:spacing w:val="0"/>
          <w:color w:val="000000"/>
          <w:position w:val="0"/>
        </w:rPr>
        <w:t>10 января 2020 года</w:t>
        <w:tab/>
        <w:t>г. Смоленск</w:t>
      </w:r>
    </w:p>
    <w:p>
      <w:pPr>
        <w:pStyle w:val="Style21"/>
        <w:widowControl w:val="0"/>
        <w:keepNext w:val="0"/>
        <w:keepLines w:val="0"/>
        <w:shd w:val="clear" w:color="auto" w:fill="auto"/>
        <w:bidi w:val="0"/>
        <w:jc w:val="left"/>
        <w:spacing w:before="0" w:after="0" w:line="307" w:lineRule="exact"/>
        <w:ind w:left="20" w:right="240" w:firstLine="0"/>
        <w:sectPr>
          <w:type w:val="continuous"/>
          <w:pgSz w:w="11906" w:h="16838"/>
          <w:pgMar w:top="443" w:left="772" w:right="666" w:bottom="462" w:header="0" w:footer="3" w:gutter="0"/>
          <w:rtlGutter w:val="0"/>
          <w:cols w:space="720"/>
          <w:noEndnote/>
          <w:docGrid w:linePitch="360"/>
        </w:sectPr>
      </w:pPr>
      <w:r>
        <w:rPr>
          <w:lang w:val="ru-RU" w:eastAsia="ru-RU" w:bidi="ru-RU"/>
          <w:sz w:val="24"/>
          <w:szCs w:val="24"/>
          <w:w w:val="100"/>
          <w:spacing w:val="0"/>
          <w:color w:val="000000"/>
          <w:position w:val="0"/>
        </w:rPr>
        <w:t>Комиссия Смоленского У ФАС России по контролю в сфере закупок (далее - Комиссия) в следующем составе:</w:t>
      </w:r>
    </w:p>
    <w:p>
      <w:pPr>
        <w:widowControl w:val="0"/>
        <w:spacing w:before="111" w:after="11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1"/>
        <w:widowControl w:val="0"/>
        <w:keepNext w:val="0"/>
        <w:keepLines w:val="0"/>
        <w:shd w:val="clear" w:color="auto" w:fill="auto"/>
        <w:bidi w:val="0"/>
        <w:jc w:val="left"/>
        <w:spacing w:before="0" w:after="252" w:line="240" w:lineRule="exact"/>
        <w:ind w:left="20" w:right="0" w:firstLine="0"/>
      </w:pPr>
      <w:r>
        <w:rPr>
          <w:lang w:val="ru-RU" w:eastAsia="ru-RU" w:bidi="ru-RU"/>
          <w:sz w:val="24"/>
          <w:szCs w:val="24"/>
          <w:w w:val="100"/>
          <w:spacing w:val="0"/>
          <w:color w:val="000000"/>
          <w:position w:val="0"/>
        </w:rPr>
        <w:t>Председатель Комиссии:</w:t>
      </w:r>
    </w:p>
    <w:p>
      <w:pPr>
        <w:pStyle w:val="Style21"/>
        <w:widowControl w:val="0"/>
        <w:keepNext w:val="0"/>
        <w:keepLines w:val="0"/>
        <w:shd w:val="clear" w:color="auto" w:fill="auto"/>
        <w:bidi w:val="0"/>
        <w:jc w:val="left"/>
        <w:spacing w:before="0" w:after="886" w:line="298" w:lineRule="exact"/>
        <w:ind w:left="20" w:right="20" w:firstLine="0"/>
      </w:pPr>
      <w:r>
        <w:rPr>
          <w:lang w:val="ru-RU" w:eastAsia="ru-RU" w:bidi="ru-RU"/>
          <w:sz w:val="24"/>
          <w:szCs w:val="24"/>
          <w:w w:val="100"/>
          <w:spacing w:val="0"/>
          <w:color w:val="000000"/>
          <w:position w:val="0"/>
        </w:rPr>
        <w:t>Заместитель председателя Комиссии:</w:t>
      </w:r>
    </w:p>
    <w:p>
      <w:pPr>
        <w:pStyle w:val="Style21"/>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Член Комиссии:</w:t>
      </w:r>
    </w:p>
    <w:p>
      <w:pPr>
        <w:pStyle w:val="Style21"/>
        <w:numPr>
          <w:ilvl w:val="0"/>
          <w:numId w:val="1"/>
        </w:numPr>
        <w:widowControl w:val="0"/>
        <w:keepNext w:val="0"/>
        <w:keepLines w:val="0"/>
        <w:shd w:val="clear" w:color="auto" w:fill="auto"/>
        <w:bidi w:val="0"/>
        <w:jc w:val="both"/>
        <w:spacing w:before="0" w:after="244" w:line="302" w:lineRule="exact"/>
        <w:ind w:left="20" w:right="20" w:firstLine="0"/>
      </w:pPr>
      <w:r>
        <w:rPr>
          <w:lang w:val="ru-RU" w:eastAsia="ru-RU" w:bidi="ru-RU"/>
          <w:sz w:val="24"/>
          <w:szCs w:val="24"/>
          <w:w w:val="100"/>
          <w:spacing w:val="0"/>
          <w:color w:val="000000"/>
          <w:position w:val="0"/>
        </w:rPr>
        <w:t xml:space="preserve"> руководитель Смоленского У ФАС России;</w:t>
      </w:r>
    </w:p>
    <w:p>
      <w:pPr>
        <w:pStyle w:val="Style21"/>
        <w:numPr>
          <w:ilvl w:val="0"/>
          <w:numId w:val="1"/>
        </w:numPr>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 xml:space="preserve"> начальник отдела контроля закупок и антимонопольного контроля органов власти Смоленского У ФАС России;</w:t>
      </w:r>
    </w:p>
    <w:p>
      <w:pPr>
        <w:pStyle w:val="Style21"/>
        <w:numPr>
          <w:ilvl w:val="0"/>
          <w:numId w:val="1"/>
        </w:numPr>
        <w:tabs>
          <w:tab w:leader="none" w:pos="2583" w:val="center"/>
          <w:tab w:leader="none" w:pos="4254" w:val="right"/>
        </w:tabs>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 xml:space="preserve"> специалист-эксперт отдела контроля</w:t>
        <w:tab/>
        <w:t>закупок</w:t>
        <w:tab/>
        <w:t>и</w:t>
      </w:r>
    </w:p>
    <w:p>
      <w:pPr>
        <w:pStyle w:val="Style21"/>
        <w:widowControl w:val="0"/>
        <w:keepNext w:val="0"/>
        <w:keepLines w:val="0"/>
        <w:shd w:val="clear" w:color="auto" w:fill="auto"/>
        <w:bidi w:val="0"/>
        <w:jc w:val="both"/>
        <w:spacing w:before="0" w:after="0" w:line="298" w:lineRule="exact"/>
        <w:ind w:left="20" w:right="20" w:firstLine="0"/>
        <w:sectPr>
          <w:type w:val="continuous"/>
          <w:pgSz w:w="11906" w:h="16838"/>
          <w:pgMar w:top="443" w:left="733" w:right="882" w:bottom="462" w:header="0" w:footer="3" w:gutter="0"/>
          <w:rtlGutter w:val="0"/>
          <w:cols w:num="2" w:space="720" w:equalWidth="0">
            <w:col w:w="2784" w:space="3259"/>
            <w:col w:w="4248"/>
          </w:cols>
          <w:noEndnote/>
          <w:docGrid w:linePitch="360"/>
        </w:sectPr>
      </w:pPr>
      <w:r>
        <w:rPr>
          <w:lang w:val="ru-RU" w:eastAsia="ru-RU" w:bidi="ru-RU"/>
          <w:sz w:val="24"/>
          <w:szCs w:val="24"/>
          <w:w w:val="100"/>
          <w:spacing w:val="0"/>
          <w:color w:val="000000"/>
          <w:position w:val="0"/>
        </w:rPr>
        <w:t>антимонопольного контроля органов власти Смоленского У ФАС России,</w:t>
      </w:r>
    </w:p>
    <w:p>
      <w:pPr>
        <w:widowControl w:val="0"/>
        <w:spacing w:before="27" w:after="2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1"/>
        <w:framePr w:h="236" w:wrap="around" w:vAnchor="text" w:hAnchor="margin" w:x="6326" w:y="288"/>
        <w:widowControl w:val="0"/>
        <w:keepNext w:val="0"/>
        <w:keepLines w:val="0"/>
        <w:shd w:val="clear" w:color="auto" w:fill="auto"/>
        <w:bidi w:val="0"/>
        <w:jc w:val="left"/>
        <w:spacing w:before="0" w:after="0" w:line="230" w:lineRule="exact"/>
        <w:ind w:left="100" w:right="0" w:firstLine="0"/>
      </w:pPr>
      <w:r>
        <w:rPr>
          <w:rStyle w:val="CharStyle24"/>
          <w:spacing w:val="0"/>
        </w:rPr>
        <w:t>- представителя по доверенности</w:t>
      </w:r>
    </w:p>
    <w:p>
      <w:pPr>
        <w:pStyle w:val="Style21"/>
        <w:widowControl w:val="0"/>
        <w:keepNext w:val="0"/>
        <w:keepLines w:val="0"/>
        <w:shd w:val="clear" w:color="auto" w:fill="auto"/>
        <w:bidi w:val="0"/>
        <w:jc w:val="left"/>
        <w:spacing w:before="0" w:after="0" w:line="298" w:lineRule="exact"/>
        <w:ind w:left="20" w:right="2060" w:firstLine="720"/>
      </w:pPr>
      <w:r>
        <w:rPr>
          <w:lang w:val="ru-RU" w:eastAsia="ru-RU" w:bidi="ru-RU"/>
          <w:sz w:val="24"/>
          <w:szCs w:val="24"/>
          <w:w w:val="100"/>
          <w:spacing w:val="0"/>
          <w:color w:val="000000"/>
          <w:position w:val="0"/>
        </w:rPr>
        <w:t>при участии представителей: от государственного заказчика: от 12.12.2019;</w:t>
      </w:r>
    </w:p>
    <w:p>
      <w:pPr>
        <w:pStyle w:val="Style21"/>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от уполномоченного органа и Заявителя представители не явились, уведомлены надлежащим образом,</w:t>
      </w:r>
    </w:p>
    <w:p>
      <w:pPr>
        <w:pStyle w:val="Style21"/>
        <w:tabs>
          <w:tab w:leader="none" w:pos="7498" w:val="left"/>
        </w:tabs>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рассмотрев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w:t>
        <w:tab/>
        <w:t>7.7-7.8 Положения о</w:t>
      </w:r>
    </w:p>
    <w:p>
      <w:pPr>
        <w:pStyle w:val="Style21"/>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территориальном органе Федеральной антимонопольной службы, утвержденног^ д^и^цз^м</w:t>
      </w:r>
      <w:r>
        <w:br w:type="page"/>
      </w:r>
    </w:p>
    <w:p>
      <w:pPr>
        <w:pStyle w:val="Style21"/>
        <w:widowControl w:val="0"/>
        <w:keepNext w:val="0"/>
        <w:keepLines w:val="0"/>
        <w:shd w:val="clear" w:color="auto" w:fill="auto"/>
        <w:bidi w:val="0"/>
        <w:jc w:val="both"/>
        <w:spacing w:before="0" w:after="286" w:line="298" w:lineRule="exact"/>
        <w:ind w:left="20" w:right="20" w:firstLine="0"/>
      </w:pPr>
      <w:r>
        <w:rPr>
          <w:lang w:val="ru-RU" w:eastAsia="ru-RU" w:bidi="ru-RU"/>
          <w:sz w:val="24"/>
          <w:szCs w:val="24"/>
          <w:w w:val="100"/>
          <w:spacing w:val="0"/>
          <w:color w:val="000000"/>
          <w:position w:val="0"/>
        </w:rPr>
        <w:t>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приказом ФАС России от 11.02.2014 № 75/14,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Регламент) и приказом Смоленского У ФАС России от 05.11.2019 № 49, жалобу ООО «КС-Строй» (далее - Заявитель) и проведя внеплановую проверку,</w:t>
      </w:r>
    </w:p>
    <w:p>
      <w:pPr>
        <w:pStyle w:val="Style25"/>
        <w:widowControl w:val="0"/>
        <w:keepNext/>
        <w:keepLines/>
        <w:shd w:val="clear" w:color="auto" w:fill="auto"/>
        <w:bidi w:val="0"/>
        <w:spacing w:before="0" w:after="261" w:line="240" w:lineRule="exact"/>
        <w:ind w:left="0" w:right="0" w:firstLine="0"/>
      </w:pPr>
      <w:bookmarkStart w:id="1" w:name="bookmark1"/>
      <w:r>
        <w:rPr>
          <w:lang w:val="ru-RU" w:eastAsia="ru-RU" w:bidi="ru-RU"/>
          <w:sz w:val="24"/>
          <w:szCs w:val="24"/>
          <w:w w:val="100"/>
          <w:spacing w:val="0"/>
          <w:color w:val="000000"/>
          <w:position w:val="0"/>
        </w:rPr>
        <w:t>УСТАНОВИЛА:</w:t>
      </w:r>
      <w:bookmarkEnd w:id="1"/>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Смоленское УФАС России 27.12.2019 поступила жалоба Заявителя, согласно которой положения документации об аукционе не соответствуют требованиям Закона в части:</w:t>
      </w:r>
    </w:p>
    <w:p>
      <w:pPr>
        <w:pStyle w:val="Style21"/>
        <w:numPr>
          <w:ilvl w:val="0"/>
          <w:numId w:val="3"/>
        </w:numPr>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 xml:space="preserve"> неразмещения в полном объеме проектно-сметной документации;</w:t>
      </w:r>
    </w:p>
    <w:p>
      <w:pPr>
        <w:pStyle w:val="Style21"/>
        <w:numPr>
          <w:ilvl w:val="0"/>
          <w:numId w:val="3"/>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неприменения Заказчиком в проекте государственного контракта положений части 7 статьи 30 Закона, а также постановления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(далее - Постановление № 1466).</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Государственным заказчиком по данному аукциону является ОГКУ «Управление капитального строительства Смоленской области», уполномоченным органом - Главное управление Смоленской области по регулированию контрактной системы.</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Заказчик представил письменные возражения по существу жалобы, с доводами жалобы Заявителя не согласился.</w:t>
      </w:r>
    </w:p>
    <w:p>
      <w:pPr>
        <w:pStyle w:val="Style21"/>
        <w:widowControl w:val="0"/>
        <w:keepNext w:val="0"/>
        <w:keepLines w:val="0"/>
        <w:shd w:val="clear" w:color="auto" w:fill="auto"/>
        <w:bidi w:val="0"/>
        <w:jc w:val="both"/>
        <w:spacing w:before="0" w:after="240" w:line="298" w:lineRule="exact"/>
        <w:ind w:left="20" w:right="0" w:firstLine="720"/>
      </w:pPr>
      <w:r>
        <w:rPr>
          <w:lang w:val="ru-RU" w:eastAsia="ru-RU" w:bidi="ru-RU"/>
          <w:sz w:val="24"/>
          <w:szCs w:val="24"/>
          <w:w w:val="100"/>
          <w:spacing w:val="0"/>
          <w:color w:val="000000"/>
          <w:position w:val="0"/>
        </w:rPr>
        <w:t>На момент рассмотрения жалобы контракт Заказчиком не заключен.</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результате изучения представленных документов, рассмотрения доводов жалобы, пояснений Заказчика, Комиссия установила следующее.</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22.12.2019 уполномоченным органом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размещены извещение № 0163200000319009823 о проведении электронного аукциона «Выполнение работ по строительству объекта: «Школа на 1100 мест в микрорайоне Соловьиная роща, г. Смоленск» и документация об аукционе.</w:t>
      </w:r>
    </w:p>
    <w:p>
      <w:pPr>
        <w:pStyle w:val="Style21"/>
        <w:widowControl w:val="0"/>
        <w:keepNext w:val="0"/>
        <w:keepLines w:val="0"/>
        <w:shd w:val="clear" w:color="auto" w:fill="auto"/>
        <w:bidi w:val="0"/>
        <w:jc w:val="both"/>
        <w:spacing w:before="0" w:after="240" w:line="298" w:lineRule="exact"/>
        <w:ind w:left="20" w:right="0" w:firstLine="720"/>
      </w:pPr>
      <w:r>
        <w:rPr>
          <w:lang w:val="ru-RU" w:eastAsia="ru-RU" w:bidi="ru-RU"/>
          <w:sz w:val="24"/>
          <w:szCs w:val="24"/>
          <w:w w:val="100"/>
          <w:spacing w:val="0"/>
          <w:color w:val="000000"/>
          <w:position w:val="0"/>
        </w:rPr>
        <w:t>Начальная (максимальная) цена контракта - 905 364 526,76 рублей.</w:t>
      </w:r>
    </w:p>
    <w:p>
      <w:pPr>
        <w:pStyle w:val="Style21"/>
        <w:numPr>
          <w:ilvl w:val="0"/>
          <w:numId w:val="5"/>
        </w:numPr>
        <w:tabs>
          <w:tab w:leader="none" w:pos="1105" w:val="left"/>
        </w:tabs>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части 1 статьи 59 Закона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пункту 1 части 1 статьи 64 Закона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статьей Закона, в том числе обоснование начальной (максимальной) цены контракта, начальных цен единиц товара, работы, услуги.</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пунктами 1 - 3 части 1 статьи 33 Закона заказчик при описании в документации о закупке объекта закупки должен руководствоваться следующими правилами:</w:t>
      </w:r>
    </w:p>
    <w:p>
      <w:pPr>
        <w:pStyle w:val="Style21"/>
        <w:numPr>
          <w:ilvl w:val="0"/>
          <w:numId w:val="7"/>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1"/>
        <w:numPr>
          <w:ilvl w:val="0"/>
          <w:numId w:val="7"/>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21"/>
        <w:numPr>
          <w:ilvl w:val="0"/>
          <w:numId w:val="7"/>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пунктом 8 части 1 статьи 33 Закона 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частями 16 и 16.1 статьи 34 Закона,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 закупке в соответствии с настоящим пунктом является надлежащим исполнением требований пунктов 1-3 части 1 статьи 33 Закона.</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частью 2 статьи 48 Градостроительного кодекса Российской Федерации (далее - ГрК РФ) проектная документация представляет собой документацию, содержащую материалы в текстовой и графической формах и (или) в форме информационной модели и определяющую архитектурные, функционально</w:t>
        <w:softHyphen/>
        <w:t>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частью 6 статьи 52 ГрК РФ лицо, осуществляющее строительство, обязано осуществлять строительство, реконструкцию, капитальный ремонт объекта капитального строительства, в том числе в соответствии с проектной документацией. При этом согласно части 2 статьи 48 ГрК РФ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 если при его проведении затрагиваются конструктивные и другие характеристики надежности и безопасности объектов капитального строительства.</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силу части 12 статьи 48 ГрК РФ в состав проектной документации объектов капитального строительства с учетом особенностей, предусмотренных частью 13 данной статьи, включаются следующие разделы:</w:t>
      </w:r>
    </w:p>
    <w:p>
      <w:pPr>
        <w:pStyle w:val="Style21"/>
        <w:numPr>
          <w:ilvl w:val="0"/>
          <w:numId w:val="9"/>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пояснительная записка с исходными данными для архитектурно-строительного проектирования, строительства, реконструкции, капитального ремонта объектов капитального строительства, в том числе с техническими условиями подключения (технологического присоединения) к сетям инженерно-технического обеспечения, и в случае проведения экспертизы результатов инженерных изысканий до проведения экспертизы проектной документации с реквизитами положительного заключения экспертизы результатов инженерных изысканий;</w:t>
      </w:r>
    </w:p>
    <w:p>
      <w:pPr>
        <w:pStyle w:val="Style21"/>
        <w:numPr>
          <w:ilvl w:val="0"/>
          <w:numId w:val="9"/>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pPr>
        <w:pStyle w:val="Style21"/>
        <w:numPr>
          <w:ilvl w:val="0"/>
          <w:numId w:val="9"/>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разделы, содержащие архитектурные, функционально-технологические, конструктивные, инженерно-технические решения и (или) мероприятия, направленные на обеспечение соблюдения:</w:t>
      </w:r>
    </w:p>
    <w:p>
      <w:pPr>
        <w:pStyle w:val="Style21"/>
        <w:tabs>
          <w:tab w:leader="none" w:pos="1066" w:val="left"/>
        </w:tabs>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а)</w:t>
        <w:tab/>
        <w:t>требований технических регламентов, в том числе требований механической, пожарной и иной безопасности, требований энергетической эффективности, требований оснащенности зданий, строений, сооружений приборами учета используемых энергетических ресурсов к зданиям, строениям и сооружениям (в том числе к входящим в их состав сетям и системам инженерно-технического обеспечения), требований к обеспечению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б) санитарно-эпидемиологических требований, требований в области охраны окружающей среды, требований к безопасному использованию атомной энергии, требований промышленной безопасности, требований к обеспечению надежности и безопасности электроэнергетических систем и объектов электроэнергетики, требований антитеррористической защищенности объектов;</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требований к процессам проектирования, строительства, монтажа, наладки, эксплуатации зданий и сооружений;</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г) требований технических условий подключения (технологического присоединения) объектов капитального строительства к сетям инженерно-технического обеспечения;</w:t>
      </w:r>
    </w:p>
    <w:p>
      <w:pPr>
        <w:pStyle w:val="Style21"/>
        <w:numPr>
          <w:ilvl w:val="0"/>
          <w:numId w:val="9"/>
        </w:numPr>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 xml:space="preserve"> проект организации строительства объектов капитального строительства;</w:t>
      </w:r>
    </w:p>
    <w:p>
      <w:pPr>
        <w:pStyle w:val="Style21"/>
        <w:numPr>
          <w:ilvl w:val="0"/>
          <w:numId w:val="9"/>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требования к обеспечению безопасной эксплуатации объектов капитального строительства;</w:t>
      </w:r>
    </w:p>
    <w:p>
      <w:pPr>
        <w:pStyle w:val="Style21"/>
        <w:numPr>
          <w:ilvl w:val="0"/>
          <w:numId w:val="9"/>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сведения о нормативной периодичности выполнения работ по капитальному ремонту объекта капитального строительства, необходимых для обеспечения безопасной эксплуатации такого объекта, а также в случае подготовки проектной документации для строительства, реконструкции многоквартирного дома сведения об объеме и составе указанных работ.</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Представитель Заказчика на заседании Комиссии сообщил, что проектно-сметная документация в составе документации об аукционе размещена на официальном сайте единой информационной системы в сфере закупок в полном объеме, учитывая требования сайта к максимальному объему файла такая документация размещена не единым файлом, при скачивании и распаковке файлов они содержат в себе все требуемые Законом документы.</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Жалоба Заявителя не содержит указаний о том, какие документы проектной документации, какой раздел проектной документации не включен в документацию об аукционе; при проверке доводов Заявителя Комиссией также не установлен факт невключения в документацию об аукционе проектной документации в полном объеме.</w:t>
      </w:r>
    </w:p>
    <w:p>
      <w:pPr>
        <w:pStyle w:val="Style21"/>
        <w:widowControl w:val="0"/>
        <w:keepNext w:val="0"/>
        <w:keepLines w:val="0"/>
        <w:shd w:val="clear" w:color="auto" w:fill="auto"/>
        <w:bidi w:val="0"/>
        <w:jc w:val="both"/>
        <w:spacing w:before="0" w:after="240" w:line="298" w:lineRule="exact"/>
        <w:ind w:left="20" w:right="20" w:firstLine="720"/>
      </w:pPr>
      <w:r>
        <w:rPr>
          <w:lang w:val="ru-RU" w:eastAsia="ru-RU" w:bidi="ru-RU"/>
          <w:sz w:val="24"/>
          <w:szCs w:val="24"/>
          <w:w w:val="100"/>
          <w:spacing w:val="0"/>
          <w:color w:val="000000"/>
          <w:position w:val="0"/>
        </w:rPr>
        <w:t>В связи с изложенным Комиссия приходит к выводу о том, что доводы жалобы Заявителя в указанной части не соответствуют действительности, жалоба Заявителя является необоснованной.</w:t>
      </w:r>
    </w:p>
    <w:p>
      <w:pPr>
        <w:pStyle w:val="Style21"/>
        <w:numPr>
          <w:ilvl w:val="0"/>
          <w:numId w:val="5"/>
        </w:numPr>
        <w:tabs>
          <w:tab w:leader="none" w:pos="1114" w:val="left"/>
        </w:tabs>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части 5 статьи 30 Закона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Частью 7 статьи 30 Закона установлено, что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Утвержденные типовые условия контрактов, согласно пункту 1 Постановления № 1466, используются в случае предусмотренного документацией о закупке и извещением привлечения к исполнению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Комиссией установлено, что в спорном случае Заказчик в документации об аукционе и извещении о проведении аукциона не предусмотрел обязанность привлечения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Следовательно, Заказчиком при проведении спорного аукциона правомерно не применены положения части 7 статьи 30 Закона и Постановления № 1466.</w:t>
      </w:r>
    </w:p>
    <w:p>
      <w:pPr>
        <w:pStyle w:val="Style21"/>
        <w:widowControl w:val="0"/>
        <w:keepNext w:val="0"/>
        <w:keepLines w:val="0"/>
        <w:shd w:val="clear" w:color="auto" w:fill="auto"/>
        <w:bidi w:val="0"/>
        <w:jc w:val="both"/>
        <w:spacing w:before="0" w:after="236" w:line="298" w:lineRule="exact"/>
        <w:ind w:left="20" w:right="0" w:firstLine="720"/>
      </w:pPr>
      <w:r>
        <w:rPr>
          <w:lang w:val="ru-RU" w:eastAsia="ru-RU" w:bidi="ru-RU"/>
          <w:sz w:val="24"/>
          <w:szCs w:val="24"/>
          <w:w w:val="100"/>
          <w:spacing w:val="0"/>
          <w:color w:val="000000"/>
          <w:position w:val="0"/>
        </w:rPr>
        <w:t>Таким образом, в данной части жалоба Заявителя также является необоснованной.</w:t>
      </w:r>
    </w:p>
    <w:p>
      <w:pPr>
        <w:pStyle w:val="Style21"/>
        <w:widowControl w:val="0"/>
        <w:keepNext w:val="0"/>
        <w:keepLines w:val="0"/>
        <w:shd w:val="clear" w:color="auto" w:fill="auto"/>
        <w:bidi w:val="0"/>
        <w:jc w:val="both"/>
        <w:spacing w:before="0" w:after="244" w:line="302" w:lineRule="exact"/>
        <w:ind w:left="20" w:right="20" w:firstLine="720"/>
      </w:pPr>
      <w:r>
        <w:rPr>
          <w:lang w:val="ru-RU" w:eastAsia="ru-RU" w:bidi="ru-RU"/>
          <w:sz w:val="24"/>
          <w:szCs w:val="24"/>
          <w:w w:val="100"/>
          <w:spacing w:val="0"/>
          <w:color w:val="000000"/>
          <w:position w:val="0"/>
        </w:rPr>
        <w:t>В ходе внеплановой проверки Комиссией выявлены следующие нарушения законодательства о контрактной системе при проведении данного электронного аукциона.</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пунктом 2 части 5 статьи 66 Закона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Закона, или копии этих документов, а также декларацию о соответствии участника такого аукциона требованиям, установленным пунктами 3-9 части 1 статьи 31 Закона.</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пункту 1 части 1 статьи 31 Закона при осуществлении закупки заказчик устанавливает единые требования к участникам закупки, в том числе требование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частью 2 статьи 31 Закона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21"/>
        <w:numPr>
          <w:ilvl w:val="0"/>
          <w:numId w:val="11"/>
        </w:numPr>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 xml:space="preserve"> финансовых ресурсов для исполнения контракта;</w:t>
      </w:r>
    </w:p>
    <w:p>
      <w:pPr>
        <w:pStyle w:val="Style21"/>
        <w:numPr>
          <w:ilvl w:val="0"/>
          <w:numId w:val="11"/>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21"/>
        <w:numPr>
          <w:ilvl w:val="0"/>
          <w:numId w:val="11"/>
        </w:numPr>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 xml:space="preserve"> опыта работы, связанного с предметом контракта, и деловой репутации;</w:t>
      </w:r>
    </w:p>
    <w:p>
      <w:pPr>
        <w:pStyle w:val="Style21"/>
        <w:numPr>
          <w:ilvl w:val="0"/>
          <w:numId w:val="11"/>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части 3 статьи 31 Закона перечень документов, которые подтверждают соответствие участников закупок дополнительным требованиям, указанным в частях 2 и 2.1 статьи 31 Закона, устанавливается Правительством Российской Федерации.</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Приложении №1 Постановления Правительства РФ от 04.02.2015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РФ №99) установлены такие дополнительные требования к участникам закупки отдельных видов товаров, работ, услуг, а также перечень документов, подтверждающих соответствие участников закупки дополнительным требованиям.</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силу части 4 статьи 31 Закона в случае установления Правительством Российской Федерации в соответствии с частями 2 и 2.1 статьи 31 Закона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Вышеуказанными Дополнительными требованиями предусмотрена обязанность установления дополнительных требований, в том числе, при осуществлении следующих закупок:</w:t>
      </w:r>
    </w:p>
    <w:p>
      <w:pPr>
        <w:pStyle w:val="Style21"/>
        <w:numPr>
          <w:ilvl w:val="0"/>
          <w:numId w:val="1"/>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выполнение работ по строительству, реконструкции, капитальному ремонту, сносу </w:t>
      </w:r>
      <w:r>
        <w:rPr>
          <w:rStyle w:val="CharStyle27"/>
        </w:rPr>
        <w:t>объекта капитального строительства,</w:t>
      </w:r>
      <w:r>
        <w:rPr>
          <w:lang w:val="ru-RU" w:eastAsia="ru-RU" w:bidi="ru-RU"/>
          <w:sz w:val="24"/>
          <w:szCs w:val="24"/>
          <w:w w:val="100"/>
          <w:spacing w:val="0"/>
          <w:color w:val="000000"/>
          <w:position w:val="0"/>
        </w:rPr>
        <w:t xml:space="preserve"> за исключением линейного объекта, если начальная (максимальная) цена контракта (цена лота) превышает 10 млн. рублей (пункт 2);</w:t>
      </w:r>
    </w:p>
    <w:p>
      <w:pPr>
        <w:pStyle w:val="Style21"/>
        <w:numPr>
          <w:ilvl w:val="0"/>
          <w:numId w:val="1"/>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выполнение работ по строительству, реконструкции, капитальному ремонту, сносу </w:t>
      </w:r>
      <w:r>
        <w:rPr>
          <w:rStyle w:val="CharStyle27"/>
        </w:rPr>
        <w:t>линейного объекта,</w:t>
      </w:r>
      <w:r>
        <w:rPr>
          <w:lang w:val="ru-RU" w:eastAsia="ru-RU" w:bidi="ru-RU"/>
          <w:sz w:val="24"/>
          <w:szCs w:val="24"/>
          <w:w w:val="100"/>
          <w:spacing w:val="0"/>
          <w:color w:val="000000"/>
          <w:position w:val="0"/>
        </w:rPr>
        <w:t xml:space="preserve"> если начальная (максимальная) цена контракта (цена лота) превышает 10 млн. рублей (пункт 2(1)).</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пунктами 10 и 10.1 статьи 1 Градостроительного кодекса Российской Федерации объектом капитального строительства являются здание, строение, сооружение, объекты, строительство которых не завершено, за исключением некапитальных строений, сооружений и неотделимых улучшений земельного участка (замощение, покрытие и другие); линейным объектом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Как указано выше, объектом закупки является выполнение работ по строительству объекта: «Школа на 1100 мест в микрорайоне Соловьиная роща, г. Смоленск», то есть, объекта капитального строительства.</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В то же время в пункте 21 Информационной карты электронного аукциона установлены дополнительные требования к участникам закупок в соответствии с пунктом 2.1 вышепред став ленных Дополнительных требований, а именно: «Наличие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w:t>
      </w:r>
      <w:r>
        <w:rPr>
          <w:rStyle w:val="CharStyle27"/>
        </w:rPr>
        <w:t>линейного объекта.</w:t>
      </w:r>
      <w:r>
        <w:rPr>
          <w:lang w:val="ru-RU" w:eastAsia="ru-RU" w:bidi="ru-RU"/>
          <w:sz w:val="24"/>
          <w:szCs w:val="24"/>
          <w:w w:val="100"/>
          <w:spacing w:val="0"/>
          <w:color w:val="000000"/>
          <w:position w:val="0"/>
        </w:rPr>
        <w:t xml:space="preserve"> При этом стоимость такого одного исполненного контракта (договора) должна составлять не менее 30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500 млн. рублей».</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Указанное свидетельствует о том, что Заказчиком дополнительные требования к участникам закупок были установлены ненадлежащим образом и о нарушении Заказчиком требований пункта 2 части 1 статьи 64, пункта 2 части 5 статьи 66, пункта 3 части 2 статьи 31 Закона и пункта 2 Дополнительных требований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установленных постановлением Правительства Российской Федерации от 04.02.2015 № 99.</w:t>
      </w:r>
    </w:p>
    <w:p>
      <w:pPr>
        <w:pStyle w:val="Style21"/>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соответствии с частью 4 статьи 64 Закона к документации об электронном аукционе прилагается проект контракта, который является неотъемлемой частью этой документации.</w:t>
      </w:r>
    </w:p>
    <w:p>
      <w:pPr>
        <w:pStyle w:val="Style21"/>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Согласно части 1 статьи 34 Закона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21"/>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силу части 4 статьи 34 Закона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21"/>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Частью 5 статьи 34 Закона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pPr>
        <w:pStyle w:val="Style21"/>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Согласно части 23 статьи 34 Закона в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pPr>
        <w:pStyle w:val="Style21"/>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соответствии с указанной нормой Правительством Российской Федерации постановлением от 04.09.2013 № 775 установлено, что при осуществлении закупки для обеспечения нужд субъекта Российской Федерации и муниципальных нужд такой размер составляет 100 млн. рублей.</w:t>
      </w:r>
    </w:p>
    <w:p>
      <w:pPr>
        <w:pStyle w:val="Style21"/>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В силу части 24 статьи 34 Закона указанная в части 23 статьи 34 Закона информация предоставляется заказчику поставщиком (подрядчиком, исполнителем) в течение десяти дней с момента заключения им договора с соисполнителем, субподрядчиком. При этом в контракте </w:t>
      </w:r>
      <w:r>
        <w:rPr>
          <w:rStyle w:val="CharStyle27"/>
        </w:rPr>
        <w:t>должна быть</w:t>
      </w:r>
      <w:r>
        <w:rPr>
          <w:lang w:val="ru-RU" w:eastAsia="ru-RU" w:bidi="ru-RU"/>
          <w:sz w:val="24"/>
          <w:szCs w:val="24"/>
          <w:w w:val="100"/>
          <w:spacing w:val="0"/>
          <w:color w:val="000000"/>
          <w:position w:val="0"/>
        </w:rPr>
        <w:t xml:space="preserve"> предусмотрена ответственность за непредоставление указанной информации путем взыскания с поставщика (подрядчика, исполнителя)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настоящей частью. Пеня подлежит начислению за каждый день просрочки исполнения такого обязательства.</w:t>
      </w:r>
    </w:p>
    <w:p>
      <w:pPr>
        <w:pStyle w:val="Style21"/>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нарушение вышеуказанных императивных требований Заказчиком в проекте контракта не предусмотрена ответственность в соответствии с частью 24 статьи 34 Закона.</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Как указано выше, в силу части 4 статьи 34 Закона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части 8 статьи 34 Закона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21"/>
        <w:tabs>
          <w:tab w:leader="none" w:pos="2010" w:val="left"/>
          <w:tab w:leader="none" w:pos="4862" w:val="right"/>
          <w:tab w:leader="none" w:pos="6675" w:val="right"/>
          <w:tab w:leader="none" w:pos="8422" w:val="right"/>
          <w:tab w:leader="none" w:pos="10244" w:val="right"/>
        </w:tabs>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Такие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w:t>
        <w:tab/>
        <w:t>просрочки</w:t>
        <w:tab/>
        <w:t>исполнения</w:t>
        <w:tab/>
        <w:t>обязательств</w:t>
        <w:tab/>
        <w:t>заказчиком,</w:t>
        <w:tab/>
        <w:t>поставщиком</w:t>
      </w:r>
    </w:p>
    <w:p>
      <w:pPr>
        <w:pStyle w:val="Style21"/>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(подрядчиком, исполнителем), утверждены постановлением Правительства Российской Федерации от 30.08.2017 № 1042 (далее - Правила).</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частью 2 статьи 110.2 Закона Правительство Российской Федерации вправе установить виды и объемы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за исключением дочерних обществ такого подрядчика, к исполнению своих обязательств по контракту.</w:t>
      </w:r>
    </w:p>
    <w:p>
      <w:pPr>
        <w:pStyle w:val="Style21"/>
        <w:tabs>
          <w:tab w:leader="none" w:pos="2010" w:val="left"/>
          <w:tab w:leader="none" w:pos="4862" w:val="right"/>
          <w:tab w:leader="none" w:pos="6675" w:val="right"/>
          <w:tab w:leader="none" w:pos="8422" w:val="right"/>
        </w:tabs>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Подпунктами «б» и «в» пункта 2 постановления Правительства Российской Федерации от</w:t>
        <w:tab/>
        <w:t>15.05.2017</w:t>
        <w:tab/>
        <w:t>№ 570 «Об</w:t>
        <w:tab/>
        <w:t>установлении</w:t>
        <w:tab/>
        <w:t>видов и объемов работ по</w:t>
      </w:r>
    </w:p>
    <w:p>
      <w:pPr>
        <w:pStyle w:val="Style21"/>
        <w:tabs>
          <w:tab w:leader="none" w:pos="2010" w:val="left"/>
          <w:tab w:leader="none" w:pos="6675" w:val="right"/>
          <w:tab w:leader="none" w:pos="8422" w:val="right"/>
          <w:tab w:leader="none" w:pos="10244" w:val="right"/>
        </w:tabs>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строительству,</w:t>
        <w:tab/>
        <w:t>реконструкции объектов</w:t>
        <w:tab/>
        <w:t>капитального</w:t>
        <w:tab/>
        <w:t>строительства</w:t>
        <w:tab/>
        <w:t>на территории</w:t>
      </w:r>
    </w:p>
    <w:p>
      <w:pPr>
        <w:pStyle w:val="Style21"/>
        <w:tabs>
          <w:tab w:leader="none" w:pos="2010" w:val="left"/>
          <w:tab w:leader="none" w:pos="4862" w:val="right"/>
          <w:tab w:leader="none" w:pos="6675" w:val="right"/>
          <w:tab w:leader="none" w:pos="8422" w:val="right"/>
          <w:tab w:leader="none" w:pos="10244" w:val="right"/>
        </w:tabs>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w:t>
        <w:tab/>
        <w:t>просрочки</w:t>
        <w:tab/>
        <w:t>исполнения</w:t>
        <w:tab/>
        <w:t>обязательств</w:t>
        <w:tab/>
        <w:t>заказчиком,</w:t>
        <w:tab/>
        <w:t>поставщиком</w:t>
      </w:r>
    </w:p>
    <w:p>
      <w:pPr>
        <w:pStyle w:val="Style21"/>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установлено, что конкретные виды и объемы работ из числа видов и объемов работ, предусмотренных подпунктом «а» настоящего пункта, определенные по предложению подрядчика, включаются в государственный и (или) муниципальный контракт и исходя из сметной стоимости этих работ, предусмотренной проектной документацией, в совокупном стоимостном выражении должны составлять не менее 25 процентов цены государственного и (или) муниципального контракта - с 1 июля 2018 г.; порядок определения размера штрафа, начисляемого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устанавливается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30.02.2017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пунктам 1 и 2 Правил данные Правила устанавливают порядок определения в контракте размера штрафа, начисляемого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(пункт 1); размер штрафа устанавливается контрактом в соответствии с пунктами 3-9 Правил, за исключением случая, предусмотренного пунктом 13 Правил,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p>
    <w:p>
      <w:pPr>
        <w:pStyle w:val="Style21"/>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Пунктом 7 Правил определено, что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pPr>
        <w:pStyle w:val="Style21"/>
        <w:widowControl w:val="0"/>
        <w:keepNext w:val="0"/>
        <w:keepLines w:val="0"/>
        <w:shd w:val="clear" w:color="auto" w:fill="auto"/>
        <w:bidi w:val="0"/>
        <w:jc w:val="both"/>
        <w:spacing w:before="0" w:after="240" w:line="298" w:lineRule="exact"/>
        <w:ind w:left="20" w:right="20" w:firstLine="720"/>
      </w:pPr>
      <w:r>
        <w:rPr>
          <w:lang w:val="ru-RU" w:eastAsia="ru-RU" w:bidi="ru-RU"/>
          <w:sz w:val="24"/>
          <w:szCs w:val="24"/>
          <w:w w:val="100"/>
          <w:spacing w:val="0"/>
          <w:color w:val="000000"/>
          <w:position w:val="0"/>
        </w:rPr>
        <w:t>Заказчиком в пункте 3.4.28 проекта контракта установлены виды и объемы работ, который подрядчик обязан выполнить самостоятельно в соответствии с вышеуказанным постановлением Правительства Российской Федерации от 15.05.2017 № 570, вместе с тем, в нарушение императивных требований частей 4 и 8 статьи 34 Закона и пунктов 2 и 7 Правил Заказчиком в проект контракта не включена предусмотренная такими Правилами ответственность.</w:t>
      </w:r>
    </w:p>
    <w:p>
      <w:pPr>
        <w:pStyle w:val="Style21"/>
        <w:widowControl w:val="0"/>
        <w:keepNext w:val="0"/>
        <w:keepLines w:val="0"/>
        <w:shd w:val="clear" w:color="auto" w:fill="auto"/>
        <w:bidi w:val="0"/>
        <w:jc w:val="both"/>
        <w:spacing w:before="0" w:after="286" w:line="298" w:lineRule="exact"/>
        <w:ind w:left="20" w:right="20" w:firstLine="720"/>
      </w:pPr>
      <w:r>
        <w:rPr>
          <w:lang w:val="ru-RU" w:eastAsia="ru-RU" w:bidi="ru-RU"/>
          <w:sz w:val="24"/>
          <w:szCs w:val="24"/>
          <w:w w:val="100"/>
          <w:spacing w:val="0"/>
          <w:color w:val="000000"/>
          <w:position w:val="0"/>
        </w:rPr>
        <w:t>На основании изложенного и руководствуясь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pPr>
        <w:pStyle w:val="Style25"/>
        <w:widowControl w:val="0"/>
        <w:keepNext/>
        <w:keepLines/>
        <w:shd w:val="clear" w:color="auto" w:fill="auto"/>
        <w:bidi w:val="0"/>
        <w:spacing w:before="0" w:after="261" w:line="240" w:lineRule="exact"/>
        <w:ind w:left="0" w:right="0" w:firstLine="0"/>
      </w:pPr>
      <w:bookmarkStart w:id="2" w:name="bookmark2"/>
      <w:r>
        <w:rPr>
          <w:lang w:val="ru-RU" w:eastAsia="ru-RU" w:bidi="ru-RU"/>
          <w:sz w:val="24"/>
          <w:szCs w:val="24"/>
          <w:w w:val="100"/>
          <w:spacing w:val="0"/>
          <w:color w:val="000000"/>
          <w:position w:val="0"/>
        </w:rPr>
        <w:t>РЕШИЛА:</w:t>
      </w:r>
      <w:bookmarkEnd w:id="2"/>
    </w:p>
    <w:p>
      <w:pPr>
        <w:pStyle w:val="Style21"/>
        <w:numPr>
          <w:ilvl w:val="0"/>
          <w:numId w:val="13"/>
        </w:numPr>
        <w:tabs>
          <w:tab w:leader="none" w:pos="1148" w:val="left"/>
        </w:tabs>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Признать жалобу ООО «КС-Строй» на положения документации об аукционе государственного заказчика - ОГКУ «Управление капитального строительства Смоленской области», уполномоченного органа - Главного управления Смоленской области по регулированию контрактной системы при проведении электронного аукциона: «Выполнение работ по строительству объекта: «Школа на 1100 мест в микрорайоне Соловьиная роща, г. Смоленск» (извещение № 0163200000319009823) необоснованной.</w:t>
      </w:r>
    </w:p>
    <w:p>
      <w:pPr>
        <w:pStyle w:val="Style21"/>
        <w:numPr>
          <w:ilvl w:val="0"/>
          <w:numId w:val="13"/>
        </w:numPr>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 xml:space="preserve"> Признать в действиях государственного заказчика - ОГКУ «Управление капитального строительства Смоленской области» нарушения требований пункта 2 части 1 статьи 64, пункта 2 части 5 стати 66, пункта 3 части 2 статьи 31, частей 4, 8 и 24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 пункта 2 Дополнительных требований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установленных постановлением Правительства Российской Федерации от 04.02.2015 № 99, а также пунктов 2 и 7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30.02.2017 № 1042.</w:t>
      </w:r>
    </w:p>
    <w:p>
      <w:pPr>
        <w:pStyle w:val="Style21"/>
        <w:numPr>
          <w:ilvl w:val="0"/>
          <w:numId w:val="13"/>
        </w:numPr>
        <w:widowControl w:val="0"/>
        <w:keepNext w:val="0"/>
        <w:keepLines w:val="0"/>
        <w:shd w:val="clear" w:color="auto" w:fill="auto"/>
        <w:bidi w:val="0"/>
        <w:jc w:val="both"/>
        <w:spacing w:before="0" w:after="540" w:line="298" w:lineRule="exact"/>
        <w:ind w:left="40" w:right="20" w:firstLine="720"/>
      </w:pPr>
      <w:r>
        <w:rPr>
          <w:lang w:val="ru-RU" w:eastAsia="ru-RU" w:bidi="ru-RU"/>
          <w:sz w:val="24"/>
          <w:szCs w:val="24"/>
          <w:w w:val="100"/>
          <w:spacing w:val="0"/>
          <w:color w:val="000000"/>
          <w:position w:val="0"/>
        </w:rPr>
        <w:t xml:space="preserve"> Предписание об устранении нарушений законодательства о контрактной системе не выдавать в связи с выдачей такого Предписания по результатам рассмотрения жалобы ООО «УРАЛ КОНТРАКТ» на те же действия государственного заказчика.</w:t>
      </w:r>
    </w:p>
    <w:p>
      <w:pPr>
        <w:pStyle w:val="Style28"/>
        <w:widowControl w:val="0"/>
        <w:keepNext w:val="0"/>
        <w:keepLines w:val="0"/>
        <w:shd w:val="clear" w:color="auto" w:fill="auto"/>
        <w:bidi w:val="0"/>
        <w:spacing w:before="0" w:after="1186"/>
        <w:ind w:left="40" w:right="20"/>
      </w:pPr>
      <w:r>
        <w:rPr>
          <w:lang w:val="ru-RU" w:eastAsia="ru-RU" w:bidi="ru-RU"/>
          <w:sz w:val="24"/>
          <w:szCs w:val="24"/>
          <w:w w:val="100"/>
          <w:spacing w:val="0"/>
          <w:color w:val="000000"/>
          <w:position w:val="0"/>
        </w:rPr>
        <w:t>В соответствии с частью 9 статьи 106 Федерального закона от 05.04.2013 № 44- 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21"/>
        <w:widowControl w:val="0"/>
        <w:keepNext w:val="0"/>
        <w:keepLines w:val="0"/>
        <w:shd w:val="clear" w:color="auto" w:fill="auto"/>
        <w:bidi w:val="0"/>
        <w:jc w:val="left"/>
        <w:spacing w:before="0" w:after="321" w:line="240" w:lineRule="exact"/>
        <w:ind w:left="40" w:right="0" w:firstLine="0"/>
      </w:pPr>
      <w:r>
        <w:rPr>
          <w:lang w:val="ru-RU" w:eastAsia="ru-RU" w:bidi="ru-RU"/>
          <w:sz w:val="24"/>
          <w:szCs w:val="24"/>
          <w:w w:val="100"/>
          <w:spacing w:val="0"/>
          <w:color w:val="000000"/>
          <w:position w:val="0"/>
        </w:rPr>
        <w:t>Председатель Комиссии</w:t>
      </w:r>
    </w:p>
    <w:p>
      <w:pPr>
        <w:pStyle w:val="Style21"/>
        <w:widowControl w:val="0"/>
        <w:keepNext w:val="0"/>
        <w:keepLines w:val="0"/>
        <w:shd w:val="clear" w:color="auto" w:fill="auto"/>
        <w:bidi w:val="0"/>
        <w:jc w:val="left"/>
        <w:spacing w:before="0" w:after="586" w:line="298" w:lineRule="exact"/>
        <w:ind w:left="40" w:right="20" w:firstLine="0"/>
      </w:pPr>
      <w:r>
        <w:rPr>
          <w:lang w:val="ru-RU" w:eastAsia="ru-RU" w:bidi="ru-RU"/>
          <w:sz w:val="24"/>
          <w:szCs w:val="24"/>
          <w:w w:val="100"/>
          <w:spacing w:val="0"/>
          <w:color w:val="000000"/>
          <w:position w:val="0"/>
        </w:rPr>
        <w:t>Заместитель председателя Комиссии</w:t>
      </w:r>
    </w:p>
    <w:p>
      <w:pPr>
        <w:pStyle w:val="Style21"/>
        <w:widowControl w:val="0"/>
        <w:keepNext w:val="0"/>
        <w:keepLines w:val="0"/>
        <w:shd w:val="clear" w:color="auto" w:fill="auto"/>
        <w:bidi w:val="0"/>
        <w:jc w:val="left"/>
        <w:spacing w:before="0" w:after="0" w:line="240" w:lineRule="exact"/>
        <w:ind w:left="140" w:right="0" w:firstLine="0"/>
      </w:pPr>
      <w:r>
        <w:rPr>
          <w:lang w:val="ru-RU" w:eastAsia="ru-RU" w:bidi="ru-RU"/>
          <w:sz w:val="24"/>
          <w:szCs w:val="24"/>
          <w:w w:val="100"/>
          <w:spacing w:val="0"/>
          <w:color w:val="000000"/>
          <w:position w:val="0"/>
        </w:rPr>
        <w:t>Член Комиссии</w:t>
      </w:r>
    </w:p>
    <w:sectPr>
      <w:type w:val="continuous"/>
      <w:pgSz w:w="11906" w:h="16838"/>
      <w:pgMar w:top="939" w:left="800" w:right="819" w:bottom="72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rPr>
      <w:b w:val="0"/>
      <w:bCs w:val="0"/>
      <w:i w:val="0"/>
      <w:iCs w:val="0"/>
      <w:u w:val="none"/>
      <w:strike w:val="0"/>
      <w:smallCaps w:val="0"/>
      <w:sz w:val="17"/>
      <w:szCs w:val="17"/>
      <w:rFonts w:ascii="Times New Roman" w:eastAsia="Times New Roman" w:hAnsi="Times New Roman" w:cs="Times New Roman"/>
      <w:spacing w:val="6"/>
    </w:rPr>
  </w:style>
  <w:style w:type="character" w:customStyle="1" w:styleId="CharStyle5">
    <w:name w:val="Основной текст (5) Exact"/>
    <w:basedOn w:val="CharStyle20"/>
    <w:rPr>
      <w:sz w:val="17"/>
      <w:szCs w:val="17"/>
      <w:spacing w:val="6"/>
    </w:rPr>
  </w:style>
  <w:style w:type="character" w:customStyle="1" w:styleId="CharStyle7">
    <w:name w:val="Основной текст (2)_"/>
    <w:basedOn w:val="DefaultParagraphFont"/>
    <w:link w:val="Style6"/>
    <w:rPr>
      <w:b/>
      <w:bCs/>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Основной текст (3)_"/>
    <w:basedOn w:val="DefaultParagraphFont"/>
    <w:link w:val="Style9"/>
    <w:rPr>
      <w:b/>
      <w:bCs/>
      <w:i w:val="0"/>
      <w:iCs w:val="0"/>
      <w:u w:val="none"/>
      <w:strike w:val="0"/>
      <w:smallCaps w:val="0"/>
      <w:rFonts w:ascii="Times New Roman" w:eastAsia="Times New Roman" w:hAnsi="Times New Roman" w:cs="Times New Roman"/>
    </w:rPr>
  </w:style>
  <w:style w:type="character" w:customStyle="1" w:styleId="CharStyle11">
    <w:name w:val="Основной текст (3)"/>
    <w:basedOn w:val="CharStyle10"/>
    <w:rPr>
      <w:lang w:val="ru-RU" w:eastAsia="ru-RU" w:bidi="ru-RU"/>
      <w:sz w:val="24"/>
      <w:szCs w:val="24"/>
      <w:w w:val="100"/>
      <w:spacing w:val="0"/>
      <w:color w:val="000000"/>
      <w:position w:val="0"/>
    </w:rPr>
  </w:style>
  <w:style w:type="character" w:customStyle="1" w:styleId="CharStyle13">
    <w:name w:val="Основной текст (4)_"/>
    <w:basedOn w:val="DefaultParagraphFont"/>
    <w:link w:val="Style12"/>
    <w:rPr>
      <w:b w:val="0"/>
      <w:bCs w:val="0"/>
      <w:i w:val="0"/>
      <w:iCs w:val="0"/>
      <w:u w:val="none"/>
      <w:strike w:val="0"/>
      <w:smallCaps w:val="0"/>
      <w:sz w:val="14"/>
      <w:szCs w:val="14"/>
      <w:rFonts w:ascii="Times New Roman" w:eastAsia="Times New Roman" w:hAnsi="Times New Roman" w:cs="Times New Roman"/>
    </w:rPr>
  </w:style>
  <w:style w:type="character" w:customStyle="1" w:styleId="CharStyle14">
    <w:name w:val="Основной текст (4)"/>
    <w:basedOn w:val="CharStyle13"/>
    <w:rPr>
      <w:lang w:val="ru-RU" w:eastAsia="ru-RU" w:bidi="ru-RU"/>
      <w:w w:val="100"/>
      <w:spacing w:val="0"/>
      <w:color w:val="000000"/>
      <w:position w:val="0"/>
    </w:rPr>
  </w:style>
  <w:style w:type="character" w:customStyle="1" w:styleId="CharStyle16">
    <w:name w:val="Заголовок №1_"/>
    <w:basedOn w:val="DefaultParagraphFont"/>
    <w:link w:val="Style15"/>
    <w:rPr>
      <w:b w:val="0"/>
      <w:bCs w:val="0"/>
      <w:i w:val="0"/>
      <w:iCs w:val="0"/>
      <w:u w:val="none"/>
      <w:strike w:val="0"/>
      <w:smallCaps w:val="0"/>
      <w:sz w:val="38"/>
      <w:szCs w:val="38"/>
      <w:rFonts w:ascii="Times New Roman" w:eastAsia="Times New Roman" w:hAnsi="Times New Roman" w:cs="Times New Roman"/>
      <w:spacing w:val="-20"/>
    </w:rPr>
  </w:style>
  <w:style w:type="character" w:customStyle="1" w:styleId="CharStyle17">
    <w:name w:val="Заголовок №1"/>
    <w:basedOn w:val="CharStyle16"/>
    <w:rPr>
      <w:lang w:val="en-US" w:eastAsia="en-US" w:bidi="en-US"/>
      <w:u w:val="single"/>
      <w:w w:val="100"/>
      <w:color w:val="000000"/>
      <w:position w:val="0"/>
    </w:rPr>
  </w:style>
  <w:style w:type="character" w:customStyle="1" w:styleId="CharStyle18">
    <w:name w:val="Заголовок №1 + 15 pt,Курсив,Интервал 0 pt"/>
    <w:basedOn w:val="CharStyle16"/>
    <w:rPr>
      <w:lang w:val="ru-RU" w:eastAsia="ru-RU" w:bidi="ru-RU"/>
      <w:i/>
      <w:iCs/>
      <w:u w:val="single"/>
      <w:sz w:val="30"/>
      <w:szCs w:val="30"/>
      <w:w w:val="100"/>
      <w:spacing w:val="10"/>
      <w:color w:val="000000"/>
      <w:position w:val="0"/>
    </w:rPr>
  </w:style>
  <w:style w:type="character" w:customStyle="1" w:styleId="CharStyle19">
    <w:name w:val="Заголовок №1 + 30 pt,Интервал -3 pt"/>
    <w:basedOn w:val="CharStyle16"/>
    <w:rPr>
      <w:lang w:val="ru-RU" w:eastAsia="ru-RU" w:bidi="ru-RU"/>
      <w:u w:val="single"/>
      <w:sz w:val="60"/>
      <w:szCs w:val="60"/>
      <w:w w:val="100"/>
      <w:spacing w:val="-60"/>
      <w:color w:val="000000"/>
      <w:position w:val="0"/>
    </w:rPr>
  </w:style>
  <w:style w:type="character" w:customStyle="1" w:styleId="CharStyle20">
    <w:name w:val="Основной текст (5)_"/>
    <w:basedOn w:val="DefaultParagraphFont"/>
    <w:link w:val="Style3"/>
    <w:rPr>
      <w:b w:val="0"/>
      <w:bCs w:val="0"/>
      <w:i w:val="0"/>
      <w:iCs w:val="0"/>
      <w:u w:val="none"/>
      <w:strike w:val="0"/>
      <w:smallCaps w:val="0"/>
      <w:sz w:val="18"/>
      <w:szCs w:val="18"/>
      <w:rFonts w:ascii="Times New Roman" w:eastAsia="Times New Roman" w:hAnsi="Times New Roman" w:cs="Times New Roman"/>
    </w:rPr>
  </w:style>
  <w:style w:type="character" w:customStyle="1" w:styleId="CharStyle22">
    <w:name w:val="Основной текст_"/>
    <w:basedOn w:val="DefaultParagraphFont"/>
    <w:link w:val="Style21"/>
    <w:rPr>
      <w:b w:val="0"/>
      <w:bCs w:val="0"/>
      <w:i w:val="0"/>
      <w:iCs w:val="0"/>
      <w:u w:val="none"/>
      <w:strike w:val="0"/>
      <w:smallCaps w:val="0"/>
      <w:rFonts w:ascii="Times New Roman" w:eastAsia="Times New Roman" w:hAnsi="Times New Roman" w:cs="Times New Roman"/>
    </w:rPr>
  </w:style>
  <w:style w:type="character" w:customStyle="1" w:styleId="CharStyle23">
    <w:name w:val="Основной текст (2) + 12 pt,Не полужирный"/>
    <w:basedOn w:val="CharStyle7"/>
    <w:rPr>
      <w:lang w:val="ru-RU" w:eastAsia="ru-RU" w:bidi="ru-RU"/>
      <w:b/>
      <w:bCs/>
      <w:sz w:val="24"/>
      <w:szCs w:val="24"/>
      <w:w w:val="100"/>
      <w:spacing w:val="0"/>
      <w:color w:val="000000"/>
      <w:position w:val="0"/>
    </w:rPr>
  </w:style>
  <w:style w:type="character" w:customStyle="1" w:styleId="CharStyle24">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
    </w:rPr>
  </w:style>
  <w:style w:type="character" w:customStyle="1" w:styleId="CharStyle26">
    <w:name w:val="Заголовок №2_"/>
    <w:basedOn w:val="DefaultParagraphFont"/>
    <w:link w:val="Style25"/>
    <w:rPr>
      <w:b/>
      <w:bCs/>
      <w:i w:val="0"/>
      <w:iCs w:val="0"/>
      <w:u w:val="none"/>
      <w:strike w:val="0"/>
      <w:smallCaps w:val="0"/>
      <w:rFonts w:ascii="Times New Roman" w:eastAsia="Times New Roman" w:hAnsi="Times New Roman" w:cs="Times New Roman"/>
    </w:rPr>
  </w:style>
  <w:style w:type="character" w:customStyle="1" w:styleId="CharStyle27">
    <w:name w:val="Основной текст + Полужирный,Курсив"/>
    <w:basedOn w:val="CharStyle22"/>
    <w:rPr>
      <w:lang w:val="ru-RU" w:eastAsia="ru-RU" w:bidi="ru-RU"/>
      <w:b/>
      <w:bCs/>
      <w:i/>
      <w:iCs/>
      <w:sz w:val="24"/>
      <w:szCs w:val="24"/>
      <w:w w:val="100"/>
      <w:spacing w:val="0"/>
      <w:color w:val="000000"/>
      <w:position w:val="0"/>
    </w:rPr>
  </w:style>
  <w:style w:type="character" w:customStyle="1" w:styleId="CharStyle29">
    <w:name w:val="Основной текст (6)_"/>
    <w:basedOn w:val="DefaultParagraphFont"/>
    <w:link w:val="Style28"/>
    <w:rPr>
      <w:b w:val="0"/>
      <w:bCs w:val="0"/>
      <w:i/>
      <w:iCs/>
      <w:u w:val="none"/>
      <w:strike w:val="0"/>
      <w:smallCaps w:val="0"/>
      <w:rFonts w:ascii="Times New Roman" w:eastAsia="Times New Roman" w:hAnsi="Times New Roman" w:cs="Times New Roman"/>
    </w:rPr>
  </w:style>
  <w:style w:type="paragraph" w:customStyle="1" w:styleId="Style3">
    <w:name w:val="Основной текст (5)"/>
    <w:basedOn w:val="Normal"/>
    <w:link w:val="CharStyle20"/>
    <w:pPr>
      <w:widowControl w:val="0"/>
      <w:shd w:val="clear" w:color="auto" w:fill="FFFFFF"/>
      <w:spacing w:before="360"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before="360" w:after="480" w:line="226" w:lineRule="exact"/>
    </w:pPr>
    <w:rPr>
      <w:b/>
      <w:bCs/>
      <w:i w:val="0"/>
      <w:iCs w:val="0"/>
      <w:u w:val="none"/>
      <w:strike w:val="0"/>
      <w:smallCaps w:val="0"/>
      <w:sz w:val="18"/>
      <w:szCs w:val="18"/>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480" w:after="60" w:line="0" w:lineRule="exact"/>
    </w:pPr>
    <w:rPr>
      <w:b/>
      <w:bCs/>
      <w:i w:val="0"/>
      <w:iCs w:val="0"/>
      <w:u w:val="none"/>
      <w:strike w:val="0"/>
      <w:smallCaps w:val="0"/>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center"/>
      <w:spacing w:after="180" w:line="173"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15">
    <w:name w:val="Заголовок №1"/>
    <w:basedOn w:val="Normal"/>
    <w:link w:val="CharStyle16"/>
    <w:pPr>
      <w:widowControl w:val="0"/>
      <w:shd w:val="clear" w:color="auto" w:fill="FFFFFF"/>
      <w:jc w:val="both"/>
      <w:outlineLvl w:val="0"/>
      <w:spacing w:before="180" w:after="360" w:line="0" w:lineRule="exact"/>
    </w:pPr>
    <w:rPr>
      <w:b w:val="0"/>
      <w:bCs w:val="0"/>
      <w:i w:val="0"/>
      <w:iCs w:val="0"/>
      <w:u w:val="none"/>
      <w:strike w:val="0"/>
      <w:smallCaps w:val="0"/>
      <w:sz w:val="38"/>
      <w:szCs w:val="38"/>
      <w:rFonts w:ascii="Times New Roman" w:eastAsia="Times New Roman" w:hAnsi="Times New Roman" w:cs="Times New Roman"/>
      <w:spacing w:val="-20"/>
    </w:rPr>
  </w:style>
  <w:style w:type="paragraph" w:customStyle="1" w:styleId="Style21">
    <w:name w:val="Основной текст"/>
    <w:basedOn w:val="Normal"/>
    <w:link w:val="CharStyle22"/>
    <w:pPr>
      <w:widowControl w:val="0"/>
      <w:shd w:val="clear" w:color="auto" w:fill="FFFFFF"/>
      <w:spacing w:before="60"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25">
    <w:name w:val="Заголовок №2"/>
    <w:basedOn w:val="Normal"/>
    <w:link w:val="CharStyle26"/>
    <w:pPr>
      <w:widowControl w:val="0"/>
      <w:shd w:val="clear" w:color="auto" w:fill="FFFFFF"/>
      <w:jc w:val="center"/>
      <w:outlineLvl w:val="1"/>
      <w:spacing w:before="240" w:after="360" w:line="0" w:lineRule="exact"/>
    </w:pPr>
    <w:rPr>
      <w:b/>
      <w:bCs/>
      <w:i w:val="0"/>
      <w:iCs w:val="0"/>
      <w:u w:val="none"/>
      <w:strike w:val="0"/>
      <w:smallCaps w:val="0"/>
      <w:rFonts w:ascii="Times New Roman" w:eastAsia="Times New Roman" w:hAnsi="Times New Roman" w:cs="Times New Roman"/>
    </w:rPr>
  </w:style>
  <w:style w:type="paragraph" w:customStyle="1" w:styleId="Style28">
    <w:name w:val="Основной текст (6)"/>
    <w:basedOn w:val="Normal"/>
    <w:link w:val="CharStyle29"/>
    <w:pPr>
      <w:widowControl w:val="0"/>
      <w:shd w:val="clear" w:color="auto" w:fill="FFFFFF"/>
      <w:jc w:val="both"/>
      <w:spacing w:before="540" w:after="1140" w:line="298" w:lineRule="exact"/>
      <w:ind w:firstLine="720"/>
    </w:pPr>
    <w:rPr>
      <w:b w:val="0"/>
      <w:bCs w:val="0"/>
      <w:i/>
      <w:iCs/>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