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5" w:after="75"/>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95" w:line="274"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40"/>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b/>
          <w:bCs/>
        </w:rPr>
        <w:t>to86@fas.gov.ru</w:t>
      </w:r>
      <w:r>
        <w:fldChar w:fldCharType="end"/>
      </w:r>
    </w:p>
    <w:p>
      <w:pPr>
        <w:pStyle w:val="Style10"/>
        <w:widowControl w:val="0"/>
        <w:keepNext w:val="0"/>
        <w:keepLines w:val="0"/>
        <w:shd w:val="clear" w:color="auto" w:fill="auto"/>
        <w:bidi w:val="0"/>
        <w:spacing w:before="0" w:after="0" w:line="230" w:lineRule="exact"/>
        <w:ind w:left="0" w:right="180" w:firstLine="0"/>
      </w:pPr>
      <w:r>
        <w:rPr>
          <w:rStyle w:val="CharStyle12"/>
          <w:lang w:val="ru-RU" w:eastAsia="ru-RU" w:bidi="ru-RU"/>
        </w:rPr>
        <w:t>.2020</w:t>
      </w:r>
      <w:r>
        <w:rPr>
          <w:lang w:val="ru-RU" w:eastAsia="ru-RU" w:bidi="ru-RU"/>
          <w:w w:val="100"/>
          <w:spacing w:val="0"/>
          <w:color w:val="000000"/>
          <w:position w:val="0"/>
        </w:rPr>
        <w:t xml:space="preserve"> № </w:t>
      </w:r>
      <w:r>
        <w:rPr>
          <w:rStyle w:val="CharStyle12"/>
          <w:lang w:val="ru-RU" w:eastAsia="ru-RU" w:bidi="ru-RU"/>
        </w:rPr>
        <w:t>03/РВ-</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10"/>
        <w:widowControl w:val="0"/>
        <w:keepNext w:val="0"/>
        <w:keepLines w:val="0"/>
        <w:shd w:val="clear" w:color="auto" w:fill="auto"/>
        <w:bidi w:val="0"/>
        <w:jc w:val="left"/>
        <w:spacing w:before="0" w:after="0" w:line="274" w:lineRule="exact"/>
        <w:ind w:left="20" w:right="840" w:firstLine="0"/>
      </w:pPr>
      <w:r>
        <w:rPr>
          <w:lang w:val="ru-RU" w:eastAsia="ru-RU" w:bidi="ru-RU"/>
          <w:w w:val="100"/>
          <w:spacing w:val="0"/>
          <w:color w:val="000000"/>
          <w:position w:val="0"/>
        </w:rPr>
        <w:t xml:space="preserve">121151, г. Москва, набережная Тараса Шевченко, д.23 А тел.: (495)7339519,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rStyle w:val="CharStyle13"/>
        </w:rPr>
        <w:t>Заявитель:</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ИП Бриль Евгений Геннадьевич</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625526, Тюменская область, с. Кулаково,</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ул.Семеновых, д. 132/1</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8-919-952-3000</w:t>
      </w:r>
    </w:p>
    <w:p>
      <w:pPr>
        <w:pStyle w:val="Style10"/>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"mailto:semaforo@mail.ru" </w:instrText>
      </w:r>
      <w:r>
        <w:fldChar w:fldCharType="separate"/>
      </w:r>
      <w:r>
        <w:rPr>
          <w:rStyle w:val="Hyperlink"/>
          <w:lang w:val="en-US" w:eastAsia="en-US" w:bidi="en-US"/>
          <w:w w:val="100"/>
          <w:spacing w:val="0"/>
          <w:position w:val="0"/>
        </w:rPr>
        <w:t>semaforo@mail.ru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w:t>
      </w:r>
    </w:p>
    <w:p>
      <w:pPr>
        <w:pStyle w:val="Style10"/>
        <w:widowControl w:val="0"/>
        <w:keepNext w:val="0"/>
        <w:keepLines w:val="0"/>
        <w:shd w:val="clear" w:color="auto" w:fill="auto"/>
        <w:bidi w:val="0"/>
        <w:jc w:val="left"/>
        <w:spacing w:before="0" w:after="0" w:line="274" w:lineRule="exact"/>
        <w:ind w:left="20" w:right="480" w:firstLine="0"/>
      </w:pPr>
      <w:r>
        <w:rPr>
          <w:lang w:val="ru-RU" w:eastAsia="ru-RU" w:bidi="ru-RU"/>
          <w:w w:val="100"/>
          <w:spacing w:val="0"/>
          <w:color w:val="000000"/>
          <w:position w:val="0"/>
        </w:rPr>
        <w:t>Муниципальное бюджетное учреждение дополнительного образования «Специализированная детско-юношеская спортивная школа олимпийского резерва по биатлону»</w:t>
      </w:r>
    </w:p>
    <w:p>
      <w:pPr>
        <w:pStyle w:val="Style10"/>
        <w:widowControl w:val="0"/>
        <w:keepNext w:val="0"/>
        <w:keepLines w:val="0"/>
        <w:shd w:val="clear" w:color="auto" w:fill="auto"/>
        <w:bidi w:val="0"/>
        <w:jc w:val="left"/>
        <w:spacing w:before="0" w:after="0" w:line="274" w:lineRule="exact"/>
        <w:ind w:left="20" w:right="480" w:firstLine="0"/>
      </w:pPr>
      <w:r>
        <w:rPr>
          <w:lang w:val="ru-RU" w:eastAsia="ru-RU" w:bidi="ru-RU"/>
          <w:w w:val="100"/>
          <w:spacing w:val="0"/>
          <w:color w:val="000000"/>
          <w:position w:val="0"/>
        </w:rPr>
        <w:t xml:space="preserve">628309, ХМАО-Югра, Тюменская область, г.Нефтеюганск, 2 микрорайон, 10 дом, кв. 28 Тел.: 8 (3463) 222-881 </w:t>
      </w:r>
      <w:r>
        <w:rPr>
          <w:lang w:val="en-US" w:eastAsia="en-US" w:bidi="en-US"/>
          <w:w w:val="100"/>
          <w:spacing w:val="0"/>
          <w:color w:val="000000"/>
          <w:position w:val="0"/>
        </w:rPr>
        <w:t xml:space="preserve">E-Mail </w:t>
      </w:r>
      <w:r>
        <w:fldChar w:fldCharType="begin"/>
      </w:r>
      <w:r>
        <w:rPr>
          <w:rStyle w:val="CharStyle12"/>
        </w:rPr>
        <w:instrText> HYPERLINK "mailto:Office@uganskbiatlon.ru" </w:instrText>
      </w:r>
      <w:r>
        <w:fldChar w:fldCharType="separate"/>
      </w:r>
      <w:r>
        <w:rPr>
          <w:rStyle w:val="Hyperlink"/>
        </w:rPr>
        <w:t>Office@uganskbiatlon.ru</w:t>
      </w:r>
      <w:r>
        <w:fldChar w:fldCharType="end"/>
      </w:r>
      <w:r>
        <w:rPr>
          <w:lang w:val="en-US" w:eastAsia="en-US" w:bidi="en-US"/>
          <w:w w:val="100"/>
          <w:spacing w:val="0"/>
          <w:color w:val="000000"/>
          <w:position w:val="0"/>
        </w:rPr>
        <w:t xml:space="preserve"> </w:t>
      </w:r>
      <w:r>
        <w:rPr>
          <w:rStyle w:val="CharStyle13"/>
        </w:rPr>
        <w:t>Уполномоченный орган:</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Уполномоченный орган: Департамент экономического развития администрации города Нефтеюганска</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628309, ХМАО-Югра, г. Нефтеюганск,</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2 мкр., 25 дом.</w:t>
      </w:r>
    </w:p>
    <w:p>
      <w:pPr>
        <w:pStyle w:val="Style10"/>
        <w:tabs>
          <w:tab w:leader="none" w:pos="3068" w:val="right"/>
        </w:tabs>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316" w:left="1299" w:right="1169" w:bottom="614" w:header="0" w:footer="3" w:gutter="0"/>
          <w:rtlGutter w:val="0"/>
          <w:cols w:num="2" w:space="720" w:equalWidth="0">
            <w:col w:w="3898" w:space="470"/>
            <w:col w:w="5069"/>
          </w:cols>
          <w:noEndnote/>
          <w:docGrid w:linePitch="360"/>
        </w:sectPr>
      </w:pPr>
      <w:r>
        <w:rPr>
          <w:lang w:val="ru-RU" w:eastAsia="ru-RU" w:bidi="ru-RU"/>
          <w:w w:val="100"/>
          <w:spacing w:val="0"/>
          <w:color w:val="000000"/>
          <w:position w:val="0"/>
        </w:rPr>
        <w:t xml:space="preserve">Тел.: (3463) 23 70 66, 23 84 37, факс 23 77 89 </w:t>
      </w:r>
      <w:r>
        <w:rPr>
          <w:lang w:val="en-US" w:eastAsia="en-US" w:bidi="en-US"/>
          <w:w w:val="100"/>
          <w:spacing w:val="0"/>
          <w:color w:val="000000"/>
          <w:position w:val="0"/>
        </w:rPr>
        <w:t>E-Mail:</w:t>
        <w:tab/>
      </w:r>
      <w:r>
        <w:fldChar w:fldCharType="begin"/>
      </w:r>
      <w:r>
        <w:rPr>
          <w:rStyle w:val="CharStyle12"/>
        </w:rPr>
        <w:instrText> HYPERLINK "mailto:ormz@admugansk.ru" </w:instrText>
      </w:r>
      <w:r>
        <w:fldChar w:fldCharType="separate"/>
      </w:r>
      <w:r>
        <w:rPr>
          <w:rStyle w:val="Hyperlink"/>
        </w:rPr>
        <w:t>ormz@admugansk.ru</w:t>
      </w:r>
      <w:r>
        <w:fldChar w:fldCharType="end"/>
      </w:r>
    </w:p>
    <w:p>
      <w:pPr>
        <w:widowControl w:val="0"/>
        <w:spacing w:line="240" w:lineRule="exact"/>
        <w:rPr>
          <w:sz w:val="19"/>
          <w:szCs w:val="19"/>
        </w:rPr>
      </w:pP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3" w:line="230" w:lineRule="exact"/>
        <w:ind w:left="0" w:right="0" w:firstLine="0"/>
      </w:pPr>
      <w:r>
        <w:rPr>
          <w:lang w:val="ru-RU" w:eastAsia="ru-RU" w:bidi="ru-RU"/>
          <w:w w:val="100"/>
          <w:spacing w:val="0"/>
          <w:color w:val="000000"/>
          <w:position w:val="0"/>
        </w:rPr>
        <w:t>РЕШЕНИЕ № 086/06/39-46/2020</w:t>
      </w:r>
    </w:p>
    <w:p>
      <w:pPr>
        <w:pStyle w:val="Style10"/>
        <w:tabs>
          <w:tab w:leader="none" w:pos="7249"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Резолютивная часть объявлена 14.01.2020</w:t>
        <w:tab/>
        <w:t>г. Ханты-Мансийск</w:t>
      </w:r>
    </w:p>
    <w:p>
      <w:pPr>
        <w:pStyle w:val="Style10"/>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Изготовлено в полном объеме 16.01.2020</w:t>
      </w:r>
    </w:p>
    <w:p>
      <w:pPr>
        <w:pStyle w:val="Style10"/>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10"/>
        <w:numPr>
          <w:ilvl w:val="0"/>
          <w:numId w:val="1"/>
        </w:numPr>
        <w:widowControl w:val="0"/>
        <w:keepNext w:val="0"/>
        <w:keepLines w:val="0"/>
        <w:shd w:val="clear" w:color="auto" w:fill="auto"/>
        <w:bidi w:val="0"/>
        <w:jc w:val="left"/>
        <w:spacing w:before="0" w:after="0" w:line="274" w:lineRule="exact"/>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10"/>
        <w:widowControl w:val="0"/>
        <w:keepNext w:val="0"/>
        <w:keepLines w:val="0"/>
        <w:shd w:val="clear" w:color="auto" w:fill="auto"/>
        <w:bidi w:val="0"/>
        <w:jc w:val="left"/>
        <w:spacing w:before="0" w:after="0" w:line="274" w:lineRule="exact"/>
        <w:ind w:left="20" w:right="0" w:firstLine="72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left"/>
        <w:spacing w:before="0" w:after="0" w:line="274" w:lineRule="exact"/>
        <w:ind w:left="20" w:right="0" w:firstLine="72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10"/>
        <w:numPr>
          <w:ilvl w:val="0"/>
          <w:numId w:val="1"/>
        </w:numPr>
        <w:widowControl w:val="0"/>
        <w:keepNext w:val="0"/>
        <w:keepLines w:val="0"/>
        <w:shd w:val="clear" w:color="auto" w:fill="auto"/>
        <w:bidi w:val="0"/>
        <w:jc w:val="left"/>
        <w:spacing w:before="0" w:after="240" w:line="274" w:lineRule="exact"/>
        <w:ind w:left="20" w:right="0" w:firstLine="720"/>
      </w:pPr>
      <w:r>
        <w:rPr>
          <w:lang w:val="ru-RU" w:eastAsia="ru-RU" w:bidi="ru-RU"/>
          <w:w w:val="100"/>
          <w:spacing w:val="0"/>
          <w:color w:val="000000"/>
          <w:position w:val="0"/>
        </w:rPr>
        <w:t xml:space="preserve"> Аскеров М.А. - Эксперт отдела Управления,</w:t>
      </w:r>
    </w:p>
    <w:p>
      <w:pPr>
        <w:pStyle w:val="Style10"/>
        <w:widowControl w:val="0"/>
        <w:keepNext w:val="0"/>
        <w:keepLines w:val="0"/>
        <w:shd w:val="clear" w:color="auto" w:fill="auto"/>
        <w:bidi w:val="0"/>
        <w:jc w:val="both"/>
        <w:spacing w:before="0" w:after="240" w:line="274" w:lineRule="exact"/>
        <w:ind w:left="740" w:right="3100" w:firstLine="0"/>
      </w:pPr>
      <w:r>
        <w:rPr>
          <w:lang w:val="ru-RU" w:eastAsia="ru-RU" w:bidi="ru-RU"/>
          <w:w w:val="100"/>
          <w:spacing w:val="0"/>
          <w:color w:val="000000"/>
          <w:position w:val="0"/>
        </w:rPr>
        <w:t>от Заявителя - не явился, уведомлен надлежащим образом; от Заказчика - не явился, уведомлен надлежащим образом; от Уполномоченного органа - не явился, уведомлен надлежащим образом,</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рассмотрев жалобу ИП Бриль Евгений Геннадьевич (ИНН 720300231160 ОГРН: 318723200051200) от 30.12.2019 №2484-ж на действия Заказчика — Муниципальное бюджетное учреждение дополнительного образования «Специализированная детско- юношеская спортивная школа олимпийского резерва по биатлону», Уполномоченного органа - Уполномоченный орган: Департамент экономического развития администрации города</w:t>
      </w:r>
      <w:r>
        <w:br w:type="page"/>
      </w:r>
    </w:p>
    <w:p>
      <w:pPr>
        <w:pStyle w:val="Style10"/>
        <w:widowControl w:val="0"/>
        <w:keepNext w:val="0"/>
        <w:keepLines w:val="0"/>
        <w:shd w:val="clear" w:color="auto" w:fill="auto"/>
        <w:bidi w:val="0"/>
        <w:jc w:val="both"/>
        <w:spacing w:before="0" w:after="155" w:line="274" w:lineRule="exact"/>
        <w:ind w:left="20" w:right="40" w:firstLine="0"/>
      </w:pPr>
      <w:r>
        <w:rPr>
          <w:lang w:val="ru-RU" w:eastAsia="ru-RU" w:bidi="ru-RU"/>
          <w:w w:val="100"/>
          <w:spacing w:val="0"/>
          <w:color w:val="000000"/>
          <w:position w:val="0"/>
        </w:rPr>
        <w:t xml:space="preserve">Нефтеюганска, при проведении электронного аукциона, предметом которого является оказание автотранспортных услуг (извещение № 0187300012819001038)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widowControl w:val="0"/>
        <w:keepNext/>
        <w:keepLines/>
        <w:shd w:val="clear" w:color="auto" w:fill="auto"/>
        <w:bidi w:val="0"/>
        <w:spacing w:before="0" w:after="148" w:line="230" w:lineRule="exact"/>
        <w:ind w:left="20" w:right="0" w:firstLine="0"/>
      </w:pPr>
      <w:bookmarkStart w:id="1" w:name="bookmark1"/>
      <w:r>
        <w:rPr>
          <w:lang w:val="ru-RU" w:eastAsia="ru-RU" w:bidi="ru-RU"/>
          <w:w w:val="100"/>
          <w:spacing w:val="0"/>
          <w:color w:val="000000"/>
          <w:position w:val="0"/>
        </w:rPr>
        <w:t>УСТАНОВИЛА:</w:t>
      </w:r>
      <w:bookmarkEnd w:id="1"/>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ИП Бриль Евгений Геннадьевич (ИНН 720300231160 ОГРН: 318723200051200) от 30.12.2019 №2484-ж на действия Заказчика при проведении электронного аукциона (извещение № 0187300012819001038).</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доводах жалобы Заявитель указал следующее.</w:t>
      </w:r>
    </w:p>
    <w:p>
      <w:pPr>
        <w:pStyle w:val="Style10"/>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В нарушении п.1 ст. 39 44 ФЗ у заказчика отсутствует комиссия по осуществлению закупок. В I части сведений о проводимом аукционе в электронной форме информация о контрактной службе/контрактном управляющем указан сотрудник, не работающий в учреждении с 05.12.2019, а аукционная документация утверждена 19.12.2019 г.</w:t>
      </w:r>
    </w:p>
    <w:p>
      <w:pPr>
        <w:pStyle w:val="Style10"/>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Исполнитель в ходе исполнения контракта перед началом оказания услуг, но не позднее чем за 2 рабочих дня, направляет Заказчику на утверждение список водителей, привлекаемых в ходе оказания автотранспортных услуг, с обязательным предоставлением документов (документ на право управления транспортным средством, свидетельство о регистрации на автотранспортное средство, диагностическая карта на транспортное средство, подтверждающих соответствие водителя требованиям, установленным законодательством РФ в пункте 8 технического задания). Замена водительского персонала возможна по согласованию с Заказчиком.</w:t>
      </w:r>
    </w:p>
    <w:p>
      <w:pPr>
        <w:pStyle w:val="Style10"/>
        <w:widowControl w:val="0"/>
        <w:keepNext w:val="0"/>
        <w:keepLines w:val="0"/>
        <w:shd w:val="clear" w:color="auto" w:fill="auto"/>
        <w:bidi w:val="0"/>
        <w:jc w:val="both"/>
        <w:spacing w:before="0" w:after="275" w:line="274" w:lineRule="exact"/>
        <w:ind w:left="20" w:right="40" w:firstLine="720"/>
      </w:pPr>
      <w:r>
        <w:rPr>
          <w:lang w:val="ru-RU" w:eastAsia="ru-RU" w:bidi="ru-RU"/>
          <w:w w:val="100"/>
          <w:spacing w:val="0"/>
          <w:color w:val="000000"/>
          <w:position w:val="0"/>
        </w:rPr>
        <w:t>Заявитель считает данное требование незаконным, т.к. вводит ограничение конкуренции в связи с тем, что контрактом предусмотрены условия получения персональных данных водителей Исполнителя Заказчиком, а у Заявителя, как у потенциального Исполнителя, работники в должности водителей против разглашения персональных данных третьим лицам.</w:t>
      </w:r>
    </w:p>
    <w:p>
      <w:pPr>
        <w:pStyle w:val="Style14"/>
        <w:widowControl w:val="0"/>
        <w:keepNext/>
        <w:keepLines/>
        <w:shd w:val="clear" w:color="auto" w:fill="auto"/>
        <w:bidi w:val="0"/>
        <w:jc w:val="both"/>
        <w:spacing w:before="0" w:after="208" w:line="230" w:lineRule="exact"/>
        <w:ind w:left="760" w:right="40" w:firstLine="0"/>
      </w:pPr>
      <w:bookmarkStart w:id="2" w:name="bookmark2"/>
      <w:r>
        <w:rPr>
          <w:lang w:val="ru-RU" w:eastAsia="ru-RU" w:bidi="ru-RU"/>
          <w:w w:val="100"/>
          <w:spacing w:val="0"/>
          <w:color w:val="000000"/>
          <w:position w:val="0"/>
        </w:rPr>
        <w:t>В ходе рассмотрения доводов сторон Комиссией Управления установлено следующее.</w:t>
      </w:r>
      <w:bookmarkEnd w:id="2"/>
    </w:p>
    <w:p>
      <w:pPr>
        <w:pStyle w:val="Style10"/>
        <w:numPr>
          <w:ilvl w:val="0"/>
          <w:numId w:val="5"/>
        </w:numPr>
        <w:tabs>
          <w:tab w:leader="none" w:pos="1034"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частям 1, 2, 3 статьи 39 Закона о контрактной системе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Заявитель жалобы указывает, что у Заказчика отсутствует комиссия по осуществлению закупок.</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Комиссия Управления, изучив представленные Заказчиком материалы, установила факт наличия комиссии по осуществлению закупок.</w:t>
      </w:r>
    </w:p>
    <w:p>
      <w:pPr>
        <w:pStyle w:val="Style10"/>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Так, согласно пунктам 4.1-4.8 Распоряжения администрации г. Нефтеюганска № 10-р от 18.01.2019 г. персональный состав Единой комиссии утверждается распоряжением администрации города.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обладающих специальными знаниями, относящимися к объекту закупки.</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Единая комиссия состоит из пяти человек: председателя, заместителя председателя и членов Единой комиссии: от юридическо-правового управления администрации города Нефтеюганска, от департамента экономического развития администрации города Нефтеюганска, от заказчика (далее - члены Единой комиссии). Для членов Единой комиссии предусмотрен резервный состав.</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в состав Единой комиссии дополнительно включаются лица творческих профессий в соответствующей области литературы или искусства на основании распоряжения администрации города. Число таких лиц составляет не менее чем пятьдесят процентов общего числа членов Единой комиссии.</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отсутствие председателя Единой комиссии его функции выполняет заместитель председателя Единой комиссии.</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случае одновременного отсутствия на заседании Единой комиссии вышеуказанных председателя и заместителя председателя функции председателя на заседании комиссии исполняет член Единой комиссии, который избирается простым большинством голосов из числа присутствующих на заседании членов Единой комиссии, что фиксируется в протоколе заседания Единой комиссии.</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случае отсутствия члена Единой комиссии его замена осуществляется Председателем из числа членов, входящих в резервный состав.</w:t>
      </w:r>
    </w:p>
    <w:p>
      <w:pPr>
        <w:pStyle w:val="Style10"/>
        <w:numPr>
          <w:ilvl w:val="0"/>
          <w:numId w:val="7"/>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Уполномоченный орган по формированию состава Единой комиссии - департамент экономического развития администрации города Нефтеюганска (далее - Департамент).</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4.8.Член комиссии от заказчика включается в состав Единой комиссии по представлению руководителя заказчика.</w:t>
      </w:r>
    </w:p>
    <w:p>
      <w:pPr>
        <w:pStyle w:val="Style10"/>
        <w:widowControl w:val="0"/>
        <w:keepNext w:val="0"/>
        <w:keepLines w:val="0"/>
        <w:shd w:val="clear" w:color="auto" w:fill="auto"/>
        <w:bidi w:val="0"/>
        <w:jc w:val="both"/>
        <w:spacing w:before="0" w:after="240" w:line="274" w:lineRule="exact"/>
        <w:ind w:left="40" w:right="0" w:firstLine="720"/>
      </w:pPr>
      <w:r>
        <w:rPr>
          <w:lang w:val="ru-RU" w:eastAsia="ru-RU" w:bidi="ru-RU"/>
          <w:w w:val="100"/>
          <w:spacing w:val="0"/>
          <w:color w:val="000000"/>
          <w:position w:val="0"/>
        </w:rPr>
        <w:t>Таким образом, в данной части довод Заявителя является необоснованным.</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Заявитель также указывает, что в аукционной документации указан сотрудник, не работающий у Заказчика.</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пунктам 3, 7 части 4 статьи 38 Закона о контрактной системе контрактная служба, контрактный управляющий осуществляют следующие функции и полномочия:</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pPr>
        <w:pStyle w:val="Style10"/>
        <w:widowControl w:val="0"/>
        <w:keepNext w:val="0"/>
        <w:keepLines w:val="0"/>
        <w:shd w:val="clear" w:color="auto" w:fill="auto"/>
        <w:bidi w:val="0"/>
        <w:jc w:val="both"/>
        <w:spacing w:before="0" w:after="240" w:line="274" w:lineRule="exact"/>
        <w:ind w:left="40" w:right="0" w:firstLine="720"/>
      </w:pPr>
      <w:r>
        <w:rPr>
          <w:lang w:val="ru-RU" w:eastAsia="ru-RU" w:bidi="ru-RU"/>
          <w:w w:val="100"/>
          <w:spacing w:val="0"/>
          <w:color w:val="000000"/>
          <w:position w:val="0"/>
        </w:rPr>
        <w:t>осуществляют иные полномочия, предусмотренные настоящим Федеральным законом.</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I части аукционной документации указано: «Ответственный исполнитель: Майранов Шамиль Арсенович, контрактный управляющий».</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Заказчик представил на рассмотрение комиссии Приказ о приеме работника на работу, согласно которому Майранов Шамиль Арсенович был принят на работу на должность контрактного управляющего в Муниципальное бюджетное учреждение дополнительного образования «Специализированная детско-юношеская спортивная школа олимпийского резерва по биатлону» 11.12.2019 г.</w:t>
      </w:r>
    </w:p>
    <w:p>
      <w:pPr>
        <w:pStyle w:val="Style10"/>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Документация по данной закупке утверждена 23.12.2019 г.</w:t>
      </w:r>
    </w:p>
    <w:p>
      <w:pPr>
        <w:pStyle w:val="Style10"/>
        <w:widowControl w:val="0"/>
        <w:keepNext w:val="0"/>
        <w:keepLines w:val="0"/>
        <w:shd w:val="clear" w:color="auto" w:fill="auto"/>
        <w:bidi w:val="0"/>
        <w:jc w:val="both"/>
        <w:spacing w:before="0" w:after="240" w:line="274" w:lineRule="exact"/>
        <w:ind w:left="40" w:right="40" w:firstLine="720"/>
      </w:pPr>
      <w:r>
        <w:rPr>
          <w:lang w:val="ru-RU" w:eastAsia="ru-RU" w:bidi="ru-RU"/>
          <w:w w:val="100"/>
          <w:spacing w:val="0"/>
          <w:color w:val="000000"/>
          <w:position w:val="0"/>
        </w:rPr>
        <w:t>На основании вышеизложенного, довод Заявителя в данной части также является необоснованным. Иное Заявителем не доказано.</w:t>
      </w:r>
    </w:p>
    <w:p>
      <w:pPr>
        <w:pStyle w:val="Style10"/>
        <w:numPr>
          <w:ilvl w:val="0"/>
          <w:numId w:val="5"/>
        </w:numPr>
        <w:tabs>
          <w:tab w:leader="none" w:pos="1063" w:val="lef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w:t>
      </w:r>
    </w:p>
    <w:p>
      <w:pPr>
        <w:pStyle w:val="Style10"/>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в частности,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В соответствии с пунктом 2 частью 1 статьи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Pr>
          <w:rStyle w:val="CharStyle13"/>
        </w:rPr>
        <w:t xml:space="preserve">потребностям заказчика. </w:t>
      </w:r>
      <w:r>
        <w:rPr>
          <w:lang w:val="ru-RU" w:eastAsia="ru-RU" w:bidi="ru-RU"/>
          <w:w w:val="100"/>
          <w:spacing w:val="0"/>
          <w:color w:val="000000"/>
          <w:position w:val="0"/>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Согласно выдержке из пункта 2 Приложения № 1 к техническому заданию Описание объекта закупки указано следующее: «Исполнитель в ходе исполнения контракта перед началом оказания услуг, но не позднее чем за 2 рабочих дня, направляет Заказчику на утверждение список водителей, привлекаемых в ходе оказания автотранспортных услуг, с обязательным предоставлением документов (документ на право управления транспортным средством, свидетельство о регистрации на автотранспортное средство, диагностическая карта на транспортное средство, подтверждающих соответствие водителя требованиям, установленным законодательством РФ в пункте 8 технического задания). Замена водительского персонала возможна по согласованию с Заказчиком».</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В пункте 8 Технического задания указаны требования к качеству и безопасности оказываемых услуг: Услуги соответствуют требованиям установленным законодательством Российской Федерации:</w:t>
      </w:r>
    </w:p>
    <w:p>
      <w:pPr>
        <w:pStyle w:val="Style10"/>
        <w:numPr>
          <w:ilvl w:val="0"/>
          <w:numId w:val="1"/>
        </w:numPr>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 Федеральному закону Российской Федерации от 10.12.1995 № 196-ФЗ «О безопасности дорожного движения»;</w:t>
      </w:r>
    </w:p>
    <w:p>
      <w:pPr>
        <w:pStyle w:val="Style10"/>
        <w:numPr>
          <w:ilvl w:val="0"/>
          <w:numId w:val="1"/>
        </w:numPr>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 Федеральному закону Российской Федерации от 01.07.2011 № 170-ФЗ «О техническом осмотре транспортных средств и о внесении изменений в отдельные законодательные акты Российской Федерации»;</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Федеральному закону от 25.04.2002 № 40-ФЗ «Об обязательном страховании гражданской ответственности владельцев транспортных средств»;</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Постановлению Правительства Российской Федерации от 23.10.1993 № 1090 «О правилах дорожного движения»;</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ГОСТу 33552-2015 «Автобусы для перевозки детей. Технические требования и методы испытаний»;</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ГОСТу Р 51709-2001. «Государственный стандарт Российской Федерации. «Автотранспортные средства. Требования безопасности к техническому состоянию и методы проверки»;</w:t>
      </w:r>
    </w:p>
    <w:p>
      <w:pPr>
        <w:pStyle w:val="Style10"/>
        <w:numPr>
          <w:ilvl w:val="0"/>
          <w:numId w:val="1"/>
        </w:numPr>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 xml:space="preserve"> ГОСТу Р 51006-96 «Услуги транспортные. Термины и определения»;</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Постановлению Правительства Российской Федерации от 14.02.2009 № 112 «Правила перевозок пассажиров и багажа автомобильным транспортом и городским наземным электрическим транспортом»;</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Постановлению Правительства Российской Федерации от 17.12.2013 № 1177 «Правила организованной перевозки групп детей автобусами»;</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Федеральному закону от 08.11.2007 № 259-ФЗ «Устав автомобильного транспорта и городского наземного электрического транспорта»;</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Решению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Постановлению Правительства Российской Федерации от 30.06.2015 № 652 «О внесении изменений в некоторые акты Правительства Российской Федерации в части совершенствования правил организованной перевозки детей автобусами»;</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Постановлению Правительства Российской Федерации от 17.01.2007 № 20 «Об утверждении Положения о сопровождении транспортных средств автомобилями Государственной инспекции безопасности дорожного движения Министерства внутренних дел Российской Федерации и военной автомобильной инспекции»;</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Приказу Министерства транспорта РФ от 15 января 2014 г. №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pPr>
        <w:pStyle w:val="Style10"/>
        <w:numPr>
          <w:ilvl w:val="0"/>
          <w:numId w:val="1"/>
        </w:numPr>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 Приказу УМВД России по Ханты-Мансийскому автономному округу - Югре от 16.12.2016 № 1221 «Об утверждении Инструкции о порядке учета и контроля за перевозкой организованных групп детей автобусами».</w:t>
      </w:r>
    </w:p>
    <w:p>
      <w:pPr>
        <w:pStyle w:val="Style10"/>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Гражданская ответственность перевозчика должна быть застрахована в соответствии с Федеральным законом № 67-ФЗ от 14.06.2012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pPr>
        <w:pStyle w:val="Style10"/>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 xml:space="preserve">Постановлением Правительства РФ от 17.12.2013 </w:t>
      </w:r>
      <w:r>
        <w:rPr>
          <w:lang w:val="en-US" w:eastAsia="en-US" w:bidi="en-US"/>
          <w:w w:val="100"/>
          <w:spacing w:val="0"/>
          <w:color w:val="000000"/>
          <w:position w:val="0"/>
        </w:rPr>
        <w:t xml:space="preserve">N </w:t>
      </w:r>
      <w:r>
        <w:rPr>
          <w:lang w:val="ru-RU" w:eastAsia="ru-RU" w:bidi="ru-RU"/>
          <w:w w:val="100"/>
          <w:spacing w:val="0"/>
          <w:color w:val="000000"/>
          <w:position w:val="0"/>
        </w:rPr>
        <w:t>1177 "Об утверждении Правил организованной перевозки группы детей автобусами" утверждены Правила организованной перевозки группы детей автобусами (далее - Правила).</w:t>
      </w:r>
    </w:p>
    <w:p>
      <w:pPr>
        <w:pStyle w:val="Style10"/>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В силу подпункта «е» пункта 4 Правил установлено: для осуществления организованной перевозки группы детей необходимо наличие следующих документов у водителя:</w:t>
      </w:r>
    </w:p>
    <w:p>
      <w:pPr>
        <w:pStyle w:val="Style10"/>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документ, содержащий сведения о водителе (водителях) (с указанием фамилии, имени, отчества водителя, его телефона), кроме случая, если в составе документов есть копия уведомления об организованной перевозке группы детей, содержащего такие сведения.</w:t>
      </w:r>
    </w:p>
    <w:p>
      <w:pPr>
        <w:pStyle w:val="Style10"/>
        <w:widowControl w:val="0"/>
        <w:keepNext w:val="0"/>
        <w:keepLines w:val="0"/>
        <w:shd w:val="clear" w:color="auto" w:fill="auto"/>
        <w:bidi w:val="0"/>
        <w:jc w:val="both"/>
        <w:spacing w:before="0" w:after="0" w:line="274" w:lineRule="exact"/>
        <w:ind w:left="40" w:right="60" w:firstLine="720"/>
      </w:pPr>
      <w:r>
        <w:rPr>
          <w:lang w:val="ru-RU" w:eastAsia="ru-RU" w:bidi="ru-RU"/>
          <w:w w:val="100"/>
          <w:spacing w:val="0"/>
          <w:color w:val="000000"/>
          <w:position w:val="0"/>
        </w:rPr>
        <w:t>Согласно пункту 5 Правил оригиналы документов, указанных в пункте 4 настоящих Правил, хранятся организацией или фрахтовщиком и фрахтователем (если такая перевозка осуществлялась по договору фрахтования) в течение 3 лет после осуществления каждой организованной перевозки группы детей, во время которой произошло дорожно-транспортное происшествие с пострадавшими, в иных случаях - в течение 90 дней.</w:t>
      </w:r>
    </w:p>
    <w:p>
      <w:pPr>
        <w:pStyle w:val="Style10"/>
        <w:tabs>
          <w:tab w:leader="none" w:pos="6646" w:val="left"/>
          <w:tab w:leader="none" w:pos="9929" w:val="right"/>
        </w:tabs>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Пунктом 8 Правил установлено следующее:</w:t>
        <w:tab/>
        <w:t>К управлению</w:t>
        <w:tab/>
        <w:t>автобусами,</w:t>
      </w:r>
    </w:p>
    <w:p>
      <w:pPr>
        <w:pStyle w:val="Style10"/>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осуществляющими организованную перевозку группы детей, допускаются водители, соответствующие следующим требованиям:</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имеющие </w:t>
      </w:r>
      <w:r>
        <w:rPr>
          <w:rStyle w:val="CharStyle13"/>
        </w:rPr>
        <w:t xml:space="preserve">стаж </w:t>
      </w:r>
      <w:r>
        <w:rPr>
          <w:lang w:val="ru-RU" w:eastAsia="ru-RU" w:bidi="ru-RU"/>
          <w:w w:val="100"/>
          <w:spacing w:val="0"/>
          <w:color w:val="000000"/>
          <w:position w:val="0"/>
        </w:rPr>
        <w:t xml:space="preserve">работы в качестве водителя транспортного средства категории </w:t>
      </w:r>
      <w:r>
        <w:rPr>
          <w:rStyle w:val="CharStyle13"/>
          <w:lang w:val="en-US" w:eastAsia="en-US" w:bidi="en-US"/>
        </w:rPr>
        <w:t xml:space="preserve">"D" </w:t>
      </w:r>
      <w:r>
        <w:rPr>
          <w:lang w:val="ru-RU" w:eastAsia="ru-RU" w:bidi="ru-RU"/>
          <w:w w:val="100"/>
          <w:spacing w:val="0"/>
          <w:color w:val="000000"/>
          <w:position w:val="0"/>
        </w:rPr>
        <w:t>не менее одного года на дату начала организованной перевозки группы детей из последнего года и одного месяца;</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не совершавшие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прошедшие предрейсовый инструктаж по безопасности перевозки детей в соответствии с правилами обеспечения безопасности перевозок пассажиров и грузов автомобильным транспортом и городским наземным электрическим транспортом, утвержденными Министерством транспорта Российской Федерации;</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прошедшие предрейсовый медицинский осмотр в порядке, установленном Министерством здравоохранения Российской Федерации.</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Таким образом, Заказчик правомерно требует предоставления вышеуказанной информации о водителях до момента начала исполнения контракта.</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Кроме того, согласно пункту 4 Приказа Минтранса России от 15.01.2014 </w:t>
      </w:r>
      <w:r>
        <w:rPr>
          <w:lang w:val="en-US" w:eastAsia="en-US" w:bidi="en-US"/>
          <w:w w:val="100"/>
          <w:spacing w:val="0"/>
          <w:color w:val="000000"/>
          <w:position w:val="0"/>
        </w:rPr>
        <w:t xml:space="preserve">N </w:t>
      </w:r>
      <w:r>
        <w:rPr>
          <w:lang w:val="ru-RU" w:eastAsia="ru-RU" w:bidi="ru-RU"/>
          <w:w w:val="100"/>
          <w:spacing w:val="0"/>
          <w:color w:val="000000"/>
          <w:position w:val="0"/>
        </w:rPr>
        <w:t>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(далее - Приказ Минтранса) к требованиям по обеспечению безопасности перевозок пассажиров и грузов субъектами транспортной деятельности относятся:</w:t>
      </w:r>
    </w:p>
    <w:p>
      <w:pPr>
        <w:pStyle w:val="Style10"/>
        <w:numPr>
          <w:ilvl w:val="0"/>
          <w:numId w:val="9"/>
        </w:numPr>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 обеспечение профессиональной компетентности и профессиональной пригодности работников субъекта транспортной деятельности;</w:t>
      </w:r>
    </w:p>
    <w:p>
      <w:pPr>
        <w:pStyle w:val="Style10"/>
        <w:numPr>
          <w:ilvl w:val="0"/>
          <w:numId w:val="9"/>
        </w:numPr>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 обеспечение соответствия транспортных средств, используемых в процессе эксплуатации, требованиям законодательства Российской Федерации о техническом регулировании;</w:t>
      </w:r>
    </w:p>
    <w:p>
      <w:pPr>
        <w:pStyle w:val="Style10"/>
        <w:numPr>
          <w:ilvl w:val="0"/>
          <w:numId w:val="9"/>
        </w:numPr>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 xml:space="preserve"> обеспечение безопасных условий перевозок пассажиров и грузов, включая перевозки в особых условиях.</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В соответствии с пунктом 6 Приказа Минтранса в целях предупреждения дорожно- транспортных происшествий (далее - ДТП) субъект транспортной деятельности осуществляет ежегодное планирование мероприятий, указанных в Перечне.</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В случае ДТП с участием транспортных средств, принадлежащих субъекту транспортной деятельности, субъект транспортной деятельности проводит анализ причин и условий, способствовавших возникновению ДТП, результаты которого оформляются документально и хранятся не менее трех лет.</w:t>
      </w:r>
    </w:p>
    <w:p>
      <w:pPr>
        <w:pStyle w:val="Style10"/>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При осуществлении указанного анализа устанавливаются:</w:t>
      </w:r>
    </w:p>
    <w:p>
      <w:pPr>
        <w:pStyle w:val="Style10"/>
        <w:numPr>
          <w:ilvl w:val="0"/>
          <w:numId w:val="11"/>
        </w:numPr>
        <w:tabs>
          <w:tab w:leader="none" w:pos="1182" w:val="left"/>
        </w:tabs>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в отношении работника субъекта транспортной деятельности, управлявшего транспортным средством (далее - водитель):</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фамилия, имя, отчество (при наличии), общий стаж вождения данной категории транспортного средства, стаж работы у субъекта транспортной деятельности, стаж работы на данном транспортном средстве, а также по возможности те же сведения о других водителях - участниках ДТП;</w:t>
      </w:r>
    </w:p>
    <w:p>
      <w:pPr>
        <w:pStyle w:val="Style10"/>
        <w:widowControl w:val="0"/>
        <w:keepNext w:val="0"/>
        <w:keepLines w:val="0"/>
        <w:shd w:val="clear" w:color="auto" w:fill="auto"/>
        <w:bidi w:val="0"/>
        <w:jc w:val="both"/>
        <w:spacing w:before="0" w:after="0" w:line="274" w:lineRule="exact"/>
        <w:ind w:left="40" w:right="40" w:firstLine="740"/>
      </w:pPr>
      <w:r>
        <w:rPr>
          <w:lang w:val="ru-RU" w:eastAsia="ru-RU" w:bidi="ru-RU"/>
          <w:w w:val="100"/>
          <w:spacing w:val="0"/>
          <w:color w:val="000000"/>
          <w:position w:val="0"/>
        </w:rPr>
        <w:t>прохождение водителем медицинского освидетельствования на состояние опьянения. В отношении водителя, находившегося во время ДТП в состоянии алкогольного, наркотического или иного токсического опьянения, - обстоятельства, при которых он оказался за рулем в состоянии опьянения;</w:t>
      </w:r>
    </w:p>
    <w:p>
      <w:pPr>
        <w:pStyle w:val="Style10"/>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соблюдение водителем в предшествовавший ДТП период режима труда и отдыха;</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соблюдение водителем законодательства Российской Федерации о безопасности дорожного движения и настоящих Правил;</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наличие у водителя административных правонарушений в области дорожного движения и трудовой дисциплины в течение года, предшествовавшего данному происшествию, наличие взысканий у данного водителя в течение года;</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организация повышения квалификации и профессионального мастерства водителя, соблюдение условий стажировки водителя;</w:t>
      </w:r>
    </w:p>
    <w:p>
      <w:pPr>
        <w:pStyle w:val="Style10"/>
        <w:numPr>
          <w:ilvl w:val="0"/>
          <w:numId w:val="11"/>
        </w:numPr>
        <w:widowControl w:val="0"/>
        <w:keepNext w:val="0"/>
        <w:keepLines w:val="0"/>
        <w:shd w:val="clear" w:color="auto" w:fill="auto"/>
        <w:bidi w:val="0"/>
        <w:jc w:val="left"/>
        <w:spacing w:before="0" w:after="0" w:line="274" w:lineRule="exact"/>
        <w:ind w:left="780" w:right="5100" w:firstLine="0"/>
      </w:pPr>
      <w:r>
        <w:rPr>
          <w:lang w:val="ru-RU" w:eastAsia="ru-RU" w:bidi="ru-RU"/>
          <w:w w:val="100"/>
          <w:spacing w:val="0"/>
          <w:color w:val="000000"/>
          <w:position w:val="0"/>
        </w:rPr>
        <w:t xml:space="preserve"> в отношении транспортного средства: модель транспортного средства;</w:t>
      </w:r>
    </w:p>
    <w:p>
      <w:pPr>
        <w:pStyle w:val="Style10"/>
        <w:widowControl w:val="0"/>
        <w:keepNext w:val="0"/>
        <w:keepLines w:val="0"/>
        <w:shd w:val="clear" w:color="auto" w:fill="auto"/>
        <w:bidi w:val="0"/>
        <w:jc w:val="left"/>
        <w:spacing w:before="0" w:after="0" w:line="274" w:lineRule="exact"/>
        <w:ind w:left="60" w:right="40" w:firstLine="720"/>
      </w:pPr>
      <w:r>
        <w:rPr>
          <w:lang w:val="ru-RU" w:eastAsia="ru-RU" w:bidi="ru-RU"/>
          <w:w w:val="100"/>
          <w:spacing w:val="0"/>
          <w:color w:val="000000"/>
          <w:position w:val="0"/>
        </w:rPr>
        <w:t>государственный регистрационный знак (для городского наземного электрического транспорта - бортовой номер), расположение рулевого управления на транспортном средстве; наличие неисправностей транспортного средства в момент ДТП;</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наличие диагностической карты, подтверждающей прохождение технического осмотра транспортного средства;</w:t>
      </w:r>
    </w:p>
    <w:p>
      <w:pPr>
        <w:pStyle w:val="Style10"/>
        <w:widowControl w:val="0"/>
        <w:keepNext w:val="0"/>
        <w:keepLines w:val="0"/>
        <w:shd w:val="clear" w:color="auto" w:fill="auto"/>
        <w:bidi w:val="0"/>
        <w:jc w:val="left"/>
        <w:spacing w:before="0" w:after="0" w:line="274" w:lineRule="exact"/>
        <w:ind w:left="60" w:right="40" w:firstLine="720"/>
      </w:pPr>
      <w:r>
        <w:rPr>
          <w:lang w:val="ru-RU" w:eastAsia="ru-RU" w:bidi="ru-RU"/>
          <w:w w:val="100"/>
          <w:spacing w:val="0"/>
          <w:color w:val="000000"/>
          <w:position w:val="0"/>
        </w:rPr>
        <w:t>организация технического обслуживания и ремонта транспортного средства, включая: периодичность технического обслуживания транспортного средства и сроки проведения последнего технического обслуживания транспортного средства, а также лицо, ответственное за его проведение;</w:t>
      </w:r>
    </w:p>
    <w:p>
      <w:pPr>
        <w:pStyle w:val="Style10"/>
        <w:widowControl w:val="0"/>
        <w:keepNext w:val="0"/>
        <w:keepLines w:val="0"/>
        <w:shd w:val="clear" w:color="auto" w:fill="auto"/>
        <w:bidi w:val="0"/>
        <w:jc w:val="both"/>
        <w:spacing w:before="0" w:after="0" w:line="274" w:lineRule="exact"/>
        <w:ind w:left="60" w:right="0" w:firstLine="720"/>
      </w:pPr>
      <w:r>
        <w:rPr>
          <w:lang w:val="ru-RU" w:eastAsia="ru-RU" w:bidi="ru-RU"/>
          <w:w w:val="100"/>
          <w:spacing w:val="0"/>
          <w:color w:val="000000"/>
          <w:position w:val="0"/>
        </w:rPr>
        <w:t>соблюдение межсервисного пробега;</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наличие и перечень неисправностей, обнаруженных при техническом обслуживании транспортного средства;</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наличие письменных обращений водителя к субъекту транспортной деятельности о выявленных в процессе эксплуатации транспортного средства неисправностях;</w:t>
      </w:r>
    </w:p>
    <w:p>
      <w:pPr>
        <w:pStyle w:val="Style10"/>
        <w:numPr>
          <w:ilvl w:val="0"/>
          <w:numId w:val="11"/>
        </w:numPr>
        <w:widowControl w:val="0"/>
        <w:keepNext w:val="0"/>
        <w:keepLines w:val="0"/>
        <w:shd w:val="clear" w:color="auto" w:fill="auto"/>
        <w:bidi w:val="0"/>
        <w:jc w:val="both"/>
        <w:spacing w:before="0" w:after="0" w:line="274" w:lineRule="exact"/>
        <w:ind w:left="60" w:right="0" w:firstLine="720"/>
      </w:pPr>
      <w:r>
        <w:rPr>
          <w:lang w:val="ru-RU" w:eastAsia="ru-RU" w:bidi="ru-RU"/>
          <w:w w:val="100"/>
          <w:spacing w:val="0"/>
          <w:color w:val="000000"/>
          <w:position w:val="0"/>
        </w:rPr>
        <w:t xml:space="preserve"> в отношении должностных лиц субъекта транспортной деятельности:</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фамилия, имя, отчество (при наличии) лица, осуществлявшего предрейсовый контроль технического состояния транспортного средства, соответствие указанного лица квалификационным и профессиональным требованиям, соблюдение условий и порядка проведения предрейсового контроля технического состояния транспортного средства;</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фамилия, имя, отчество (при наличии) лица, осуществлявшего инструктаж водителей (в предусмотренных настоящими Правилами случаях), соответствие указанного лица квалификационным и профессиональным требованиям, соблюдение требований к проведению инструктажа в соответствии с настоящими Правилами;</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фамилия, имя, отчество (при наличии) лица, осуществлявшего предрейсовый медицинский осмотр, соответствие указанного лица квалификационным и профессиональным требованиям, соблюдение условий и порядка проведения предрейсового медицинского осмотра;</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соблюдение положений законодательства Российской Федерации о безопасности дорожного движения и настоящих Правил;</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меры, принятые субъектом транспортной деятельности к водителям, имеющим административные правонарушения в области дорожного движения.</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 xml:space="preserve">Согласно частям 2, 5 статьи 5 Федерального закона от 27.07.2006 </w:t>
      </w:r>
      <w:r>
        <w:rPr>
          <w:lang w:val="en-US" w:eastAsia="en-US" w:bidi="en-US"/>
          <w:w w:val="100"/>
          <w:spacing w:val="0"/>
          <w:color w:val="000000"/>
          <w:position w:val="0"/>
        </w:rPr>
        <w:t xml:space="preserve">N </w:t>
      </w:r>
      <w:r>
        <w:rPr>
          <w:lang w:val="ru-RU" w:eastAsia="ru-RU" w:bidi="ru-RU"/>
          <w:w w:val="100"/>
          <w:spacing w:val="0"/>
          <w:color w:val="000000"/>
          <w:position w:val="0"/>
        </w:rPr>
        <w:t>152-ФЗ "О персональных данных"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pPr>
        <w:pStyle w:val="Style10"/>
        <w:widowControl w:val="0"/>
        <w:keepNext w:val="0"/>
        <w:keepLines w:val="0"/>
        <w:shd w:val="clear" w:color="auto" w:fill="auto"/>
        <w:bidi w:val="0"/>
        <w:jc w:val="both"/>
        <w:spacing w:before="0" w:after="240" w:line="274" w:lineRule="exact"/>
        <w:ind w:left="60" w:right="40" w:firstLine="720"/>
      </w:pPr>
      <w:r>
        <w:rPr>
          <w:lang w:val="ru-RU" w:eastAsia="ru-RU" w:bidi="ru-RU"/>
          <w:w w:val="100"/>
          <w:spacing w:val="0"/>
          <w:color w:val="000000"/>
          <w:position w:val="0"/>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pPr>
        <w:pStyle w:val="Style10"/>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На основании вышеизложенного, комиссия Управления не усматривает нарушения Заказчика/уполномоченного органа в части требований к предоставлению данных о водителях Исполнителя по контракту, заявленные требования не являются избыточными, а, наоборот, непосредственно связаны с достижением заданных результатов.</w:t>
      </w:r>
    </w:p>
    <w:p>
      <w:pPr>
        <w:pStyle w:val="Style10"/>
        <w:widowControl w:val="0"/>
        <w:keepNext w:val="0"/>
        <w:keepLines w:val="0"/>
        <w:shd w:val="clear" w:color="auto" w:fill="auto"/>
        <w:bidi w:val="0"/>
        <w:jc w:val="both"/>
        <w:spacing w:before="0" w:after="0" w:line="274" w:lineRule="exact"/>
        <w:ind w:left="60" w:right="0" w:firstLine="720"/>
      </w:pPr>
      <w:r>
        <w:rPr>
          <w:lang w:val="ru-RU" w:eastAsia="ru-RU" w:bidi="ru-RU"/>
          <w:w w:val="100"/>
          <w:spacing w:val="0"/>
          <w:color w:val="000000"/>
          <w:position w:val="0"/>
        </w:rPr>
        <w:t>Следовательно, довод Заявителя является необоснованным.</w:t>
      </w:r>
    </w:p>
    <w:p>
      <w:pPr>
        <w:pStyle w:val="Style10"/>
        <w:widowControl w:val="0"/>
        <w:keepNext w:val="0"/>
        <w:keepLines w:val="0"/>
        <w:shd w:val="clear" w:color="auto" w:fill="auto"/>
        <w:bidi w:val="0"/>
        <w:jc w:val="both"/>
        <w:spacing w:before="0" w:after="240" w:line="274" w:lineRule="exact"/>
        <w:ind w:left="20" w:right="40" w:firstLine="740"/>
      </w:pPr>
      <w:r>
        <w:rPr>
          <w:lang w:val="ru-RU" w:eastAsia="ru-RU" w:bidi="ru-RU"/>
          <w:w w:val="100"/>
          <w:spacing w:val="0"/>
          <w:color w:val="000000"/>
          <w:position w:val="0"/>
        </w:rPr>
        <w:t>Жалоба ИП Бриль Евгений Геннадьевич (ИНН 720300231160 ОГРН: 318723200051200) от 30.12.2019 №2484-ж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275" w:line="274" w:lineRule="exact"/>
        <w:ind w:left="20" w:right="40" w:firstLine="74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6"/>
        <w:widowControl w:val="0"/>
        <w:keepNext/>
        <w:keepLines/>
        <w:shd w:val="clear" w:color="auto" w:fill="auto"/>
        <w:bidi w:val="0"/>
        <w:spacing w:before="0" w:after="208" w:line="230" w:lineRule="exact"/>
        <w:ind w:left="20" w:right="0" w:firstLine="0"/>
      </w:pPr>
      <w:bookmarkStart w:id="3" w:name="bookmark3"/>
      <w:r>
        <w:rPr>
          <w:lang w:val="ru-RU" w:eastAsia="ru-RU" w:bidi="ru-RU"/>
          <w:w w:val="100"/>
          <w:spacing w:val="0"/>
          <w:color w:val="000000"/>
          <w:position w:val="0"/>
        </w:rPr>
        <w:t>РЕШИЛА:</w:t>
      </w:r>
      <w:bookmarkEnd w:id="3"/>
    </w:p>
    <w:p>
      <w:pPr>
        <w:pStyle w:val="Style10"/>
        <w:numPr>
          <w:ilvl w:val="0"/>
          <w:numId w:val="13"/>
        </w:numPr>
        <w:widowControl w:val="0"/>
        <w:keepNext w:val="0"/>
        <w:keepLines w:val="0"/>
        <w:shd w:val="clear" w:color="auto" w:fill="auto"/>
        <w:bidi w:val="0"/>
        <w:jc w:val="both"/>
        <w:spacing w:before="0" w:after="0" w:line="274" w:lineRule="exact"/>
        <w:ind w:left="20" w:right="40" w:firstLine="740"/>
      </w:pPr>
      <w:r>
        <w:rPr>
          <w:lang w:val="ru-RU" w:eastAsia="ru-RU" w:bidi="ru-RU"/>
          <w:w w:val="100"/>
          <w:spacing w:val="0"/>
          <w:color w:val="000000"/>
          <w:position w:val="0"/>
        </w:rPr>
        <w:t xml:space="preserve"> Признать жалобу ИП Бриль Евгений Геннадьевич (ИНН 720300231160 ОГРН: 318723200051200) от 30.12.2019 №2484-ж на действия Заказчика — Муниципальное бюджетное учреждение дополнительного образования «Специализированная детско- юношеская спортивная школа олимпийского резерва по биатлону», Уполномоченного органа - Уполномоченный орган: Департамент экономического развития администрации города Нефтеюганска, при проведении электронного аукциона, предметом которого является оказание автотранспортных услуг (извещение № 0187300012819001038) необоснованной.</w:t>
      </w:r>
    </w:p>
    <w:p>
      <w:pPr>
        <w:pStyle w:val="Style10"/>
        <w:numPr>
          <w:ilvl w:val="0"/>
          <w:numId w:val="13"/>
        </w:numPr>
        <w:widowControl w:val="0"/>
        <w:keepNext w:val="0"/>
        <w:keepLines w:val="0"/>
        <w:shd w:val="clear" w:color="auto" w:fill="auto"/>
        <w:bidi w:val="0"/>
        <w:jc w:val="both"/>
        <w:spacing w:before="0" w:after="0" w:line="274" w:lineRule="exact"/>
        <w:ind w:left="20" w:right="40" w:firstLine="740"/>
      </w:pPr>
      <w:r>
        <w:rPr>
          <w:lang w:val="ru-RU" w:eastAsia="ru-RU" w:bidi="ru-RU"/>
          <w:w w:val="100"/>
          <w:spacing w:val="0"/>
          <w:color w:val="000000"/>
          <w:position w:val="0"/>
        </w:rPr>
        <w:t xml:space="preserve"> Направить данное решение сторонам и опубликовать на официальном сайте цциной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left"/>
        <w:spacing w:before="0" w:after="238" w:line="230" w:lineRule="exact"/>
        <w:ind w:left="2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left"/>
        <w:spacing w:before="0" w:after="343" w:line="230" w:lineRule="exact"/>
        <w:ind w:left="20" w:right="0" w:firstLine="0"/>
      </w:pPr>
      <w:r>
        <w:rPr>
          <w:lang w:val="ru-RU" w:eastAsia="ru-RU" w:bidi="ru-RU"/>
          <w:w w:val="100"/>
          <w:spacing w:val="0"/>
          <w:color w:val="000000"/>
          <w:position w:val="0"/>
        </w:rPr>
        <w:t>Члены Комиссии:</w:t>
      </w:r>
    </w:p>
    <w:p>
      <w:pPr>
        <w:pStyle w:val="Style18"/>
        <w:widowControl w:val="0"/>
        <w:keepNext w:val="0"/>
        <w:keepLines w:val="0"/>
        <w:shd w:val="clear" w:color="auto" w:fill="auto"/>
        <w:bidi w:val="0"/>
        <w:jc w:val="left"/>
        <w:spacing w:before="0" w:after="0"/>
        <w:ind w:left="20" w:right="360" w:firstLine="0"/>
      </w:pPr>
      <w:r>
        <w:rPr>
          <w:lang w:val="ru-RU" w:eastAsia="ru-RU" w:bidi="ru-RU"/>
          <w:w w:val="100"/>
          <w:spacing w:val="0"/>
          <w:color w:val="000000"/>
          <w:position w:val="0"/>
        </w:rPr>
        <w:t>Примечание: В соответствии с частью 9 статьи 106 Закона о контрактной системе решение</w:t>
      </w:r>
      <w:r>
        <w:rPr>
          <w:rStyle w:val="CharStyle20"/>
          <w:b/>
          <w:bCs/>
          <w:i w:val="0"/>
          <w:iCs w:val="0"/>
        </w:rPr>
        <w:t xml:space="preserve">, </w:t>
      </w:r>
      <w:r>
        <w:rPr>
          <w:lang w:val="ru-RU" w:eastAsia="ru-RU" w:bidi="ru-RU"/>
          <w:w w:val="100"/>
          <w:spacing w:val="0"/>
          <w:color w:val="000000"/>
          <w:position w:val="0"/>
        </w:rPr>
        <w:t>принятое, по результатам рассмотрения .жалобы по существу может быть обжаловано в судебном порядке в течение трех месяцев со дня его принятия.</w:t>
      </w:r>
    </w:p>
    <w:sectPr>
      <w:type w:val="continuous"/>
      <w:pgSz w:w="11906" w:h="16838"/>
      <w:pgMar w:top="707" w:left="872" w:right="1045" w:bottom="9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4.%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w w:val="100"/>
      <w:spacing w:val="0"/>
      <w:color w:val="000000"/>
      <w:position w:val="0"/>
    </w:rPr>
  </w:style>
  <w:style w:type="character" w:customStyle="1" w:styleId="CharStyle13">
    <w:name w:val="Основной текст + Полужирный"/>
    <w:basedOn w:val="CharStyle11"/>
    <w:rPr>
      <w:lang w:val="ru-RU" w:eastAsia="ru-RU" w:bidi="ru-RU"/>
      <w:b/>
      <w:bCs/>
      <w:w w:val="100"/>
      <w:spacing w:val="0"/>
      <w:color w:val="000000"/>
      <w:position w:val="0"/>
    </w:rPr>
  </w:style>
  <w:style w:type="character" w:customStyle="1" w:styleId="CharStyle15">
    <w:name w:val="Заголовок №3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4)_"/>
    <w:basedOn w:val="DefaultParagraphFont"/>
    <w:link w:val="Style18"/>
    <w:rPr>
      <w:b/>
      <w:bCs/>
      <w:i/>
      <w:iCs/>
      <w:u w:val="none"/>
      <w:strike w:val="0"/>
      <w:smallCaps w:val="0"/>
      <w:sz w:val="15"/>
      <w:szCs w:val="15"/>
      <w:rFonts w:ascii="Times New Roman" w:eastAsia="Times New Roman" w:hAnsi="Times New Roman" w:cs="Times New Roman"/>
    </w:rPr>
  </w:style>
  <w:style w:type="character" w:customStyle="1" w:styleId="CharStyle20">
    <w:name w:val="Основной текст (4) + 9,5 pt,Не курсив"/>
    <w:basedOn w:val="CharStyle19"/>
    <w:rPr>
      <w:lang w:val="ru-RU" w:eastAsia="ru-RU" w:bidi="ru-RU"/>
      <w:i/>
      <w:iCs/>
      <w:sz w:val="19"/>
      <w:szCs w:val="19"/>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center"/>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Заголовок №3"/>
    <w:basedOn w:val="Normal"/>
    <w:link w:val="CharStyle15"/>
    <w:pPr>
      <w:widowControl w:val="0"/>
      <w:shd w:val="clear" w:color="auto" w:fill="FFFFFF"/>
      <w:jc w:val="center"/>
      <w:outlineLvl w:val="2"/>
      <w:spacing w:before="1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before="420" w:line="182" w:lineRule="exact"/>
    </w:pPr>
    <w:rPr>
      <w:b/>
      <w:bCs/>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