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90" w:lineRule="exact"/>
        <w:ind w:left="0" w:right="0" w:firstLine="0"/>
        <w:sectPr>
          <w:footnotePr>
            <w:pos w:val="pageBottom"/>
            <w:numFmt w:val="decimal"/>
            <w:numRestart w:val="continuous"/>
          </w:footnotePr>
          <w:type w:val="continuous"/>
          <w:pgSz w:w="11906" w:h="16838"/>
          <w:pgMar w:top="666" w:left="6020" w:right="4686" w:bottom="320" w:header="0" w:footer="3" w:gutter="0"/>
          <w:rtlGutter w:val="0"/>
          <w:cols w:space="720"/>
          <w:noEndnote/>
          <w:docGrid w:linePitch="360"/>
        </w:sectPr>
      </w:pPr>
      <w:r>
        <w:rPr>
          <w:lang w:val="ru-RU" w:eastAsia="ru-RU" w:bidi="ru-RU"/>
          <w:w w:val="100"/>
          <w:spacing w:val="0"/>
          <w:color w:val="000000"/>
          <w:position w:val="0"/>
        </w:rPr>
        <w:t>Заявитель:</w:t>
      </w:r>
    </w:p>
    <w:p>
      <w:pPr>
        <w:pStyle w:val="Style3"/>
        <w:framePr w:h="180" w:wrap="around" w:vAnchor="text" w:hAnchor="margin" w:x="2231" w:y="4115"/>
        <w:widowControl w:val="0"/>
        <w:keepNext w:val="0"/>
        <w:keepLines w:val="0"/>
        <w:shd w:val="clear" w:color="auto" w:fill="auto"/>
        <w:bidi w:val="0"/>
        <w:jc w:val="left"/>
        <w:spacing w:before="0" w:after="0" w:line="180" w:lineRule="exact"/>
        <w:ind w:left="100" w:right="0" w:firstLine="0"/>
      </w:pPr>
      <w:r>
        <w:rPr>
          <w:rStyle w:val="CharStyle6"/>
          <w:b/>
          <w:bCs/>
          <w:spacing w:val="0"/>
        </w:rPr>
        <w:t>от</w:t>
      </w:r>
    </w:p>
    <w:p>
      <w:pPr>
        <w:widowControl w:val="0"/>
        <w:rPr>
          <w:sz w:val="2"/>
          <w:szCs w:val="2"/>
        </w:rPr>
      </w:pPr>
    </w:p>
    <w:p>
      <w:pPr>
        <w:pStyle w:val="Style3"/>
        <w:widowControl w:val="0"/>
        <w:keepNext w:val="0"/>
        <w:keepLines w:val="0"/>
        <w:shd w:val="clear" w:color="auto" w:fill="auto"/>
        <w:bidi w:val="0"/>
        <w:jc w:val="center"/>
        <w:spacing w:before="133" w:after="33" w:line="245" w:lineRule="exact"/>
        <w:ind w:left="0" w:right="0" w:firstLine="0"/>
      </w:pPr>
      <w:r>
        <w:rPr>
          <w:rStyle w:val="CharStyle7"/>
          <w:b/>
          <w:bCs/>
        </w:rPr>
        <w:t>ФЕДЕРАЛЬНАЯ АНТИМОНОПОЛЬНАЯ СЛУЖБА</w:t>
      </w:r>
    </w:p>
    <w:p>
      <w:pPr>
        <w:pStyle w:val="Style8"/>
        <w:widowControl w:val="0"/>
        <w:keepNext w:val="0"/>
        <w:keepLines w:val="0"/>
        <w:shd w:val="clear" w:color="auto" w:fill="auto"/>
        <w:bidi w:val="0"/>
        <w:spacing w:before="0" w:after="106"/>
        <w:ind w:left="0" w:right="0" w:firstLine="0"/>
      </w:pPr>
      <w:r>
        <w:rPr>
          <w:rStyle w:val="CharStyle10"/>
          <w:b/>
          <w:bCs/>
        </w:rPr>
        <w:t>УПРАВЛЕНИЕ Федеральной антимонопольной службы по Томской области</w:t>
      </w:r>
    </w:p>
    <w:p>
      <w:pPr>
        <w:pStyle w:val="Style11"/>
        <w:widowControl w:val="0"/>
        <w:keepNext w:val="0"/>
        <w:keepLines w:val="0"/>
        <w:shd w:val="clear" w:color="auto" w:fill="auto"/>
        <w:bidi w:val="0"/>
        <w:jc w:val="left"/>
        <w:spacing w:before="0" w:after="0"/>
        <w:ind w:left="1040" w:right="1140" w:firstLine="0"/>
      </w:pPr>
      <w:r>
        <w:rPr>
          <w:rStyle w:val="CharStyle13"/>
        </w:rPr>
        <w:t xml:space="preserve">пр. Ленина, 111, г. Томск. 634069 тел ./факс (3822) 51-29-80 </w:t>
      </w:r>
      <w:r>
        <w:rPr>
          <w:rStyle w:val="CharStyle13"/>
          <w:lang w:val="en-US" w:eastAsia="en-US" w:bidi="en-US"/>
        </w:rPr>
        <w:t>e-mail:to70(@,fas. eov.ru</w:t>
      </w:r>
    </w:p>
    <w:p>
      <w:pPr>
        <w:pStyle w:val="Style14"/>
        <w:widowControl w:val="0"/>
        <w:keepNext/>
        <w:keepLines/>
        <w:shd w:val="clear" w:color="auto" w:fill="auto"/>
        <w:bidi w:val="0"/>
        <w:jc w:val="left"/>
        <w:spacing w:before="0" w:after="353" w:line="320" w:lineRule="exact"/>
        <w:ind w:left="300" w:right="0" w:firstLine="0"/>
      </w:pPr>
      <w:bookmarkStart w:id="0" w:name="bookmark0"/>
      <w:r>
        <w:rPr>
          <w:rStyle w:val="CharStyle16"/>
          <w:i/>
          <w:iCs/>
        </w:rPr>
        <w:t>АЦ.рЦьоЮ</w:t>
      </w:r>
      <w:r>
        <w:rPr>
          <w:rStyle w:val="CharStyle17"/>
          <w:i/>
          <w:iCs/>
        </w:rPr>
        <w:t xml:space="preserve"> НК </w:t>
      </w:r>
      <w:r>
        <w:rPr>
          <w:rStyle w:val="CharStyle16"/>
          <w:lang w:val="en-US" w:eastAsia="en-US" w:bidi="en-US"/>
          <w:i/>
          <w:iCs/>
        </w:rPr>
        <w:t>I US</w:t>
      </w:r>
      <w:bookmarkEnd w:id="0"/>
    </w:p>
    <w:p>
      <w:pPr>
        <w:pStyle w:val="Style3"/>
        <w:widowControl w:val="0"/>
        <w:keepNext w:val="0"/>
        <w:keepLines w:val="0"/>
        <w:shd w:val="clear" w:color="auto" w:fill="auto"/>
        <w:bidi w:val="0"/>
        <w:jc w:val="left"/>
        <w:spacing w:before="0" w:after="0" w:line="190" w:lineRule="exact"/>
        <w:ind w:left="0" w:right="0" w:firstLine="0"/>
      </w:pPr>
      <w:r>
        <w:rPr>
          <w:rStyle w:val="CharStyle18"/>
          <w:b/>
          <w:bCs/>
        </w:rPr>
        <w:t>На №&gt;</w:t>
      </w:r>
    </w:p>
    <w:p>
      <w:pPr>
        <w:pStyle w:val="Style19"/>
        <w:widowControl w:val="0"/>
        <w:keepNext w:val="0"/>
        <w:keepLines w:val="0"/>
        <w:shd w:val="clear" w:color="auto" w:fill="auto"/>
        <w:bidi w:val="0"/>
        <w:jc w:val="left"/>
        <w:spacing w:before="0" w:after="0"/>
        <w:ind w:left="20" w:right="200" w:firstLine="0"/>
      </w:pPr>
      <w:r>
        <w:rPr>
          <w:lang w:val="ru-RU" w:eastAsia="ru-RU" w:bidi="ru-RU"/>
          <w:w w:val="100"/>
          <w:spacing w:val="0"/>
          <w:color w:val="000000"/>
          <w:position w:val="0"/>
        </w:rPr>
        <w:t>Страховому акционерному обществу «ВСК»</w:t>
      </w:r>
    </w:p>
    <w:p>
      <w:pPr>
        <w:pStyle w:val="Style19"/>
        <w:widowControl w:val="0"/>
        <w:keepNext w:val="0"/>
        <w:keepLines w:val="0"/>
        <w:shd w:val="clear" w:color="auto" w:fill="auto"/>
        <w:bidi w:val="0"/>
        <w:jc w:val="left"/>
        <w:spacing w:before="0" w:after="229"/>
        <w:ind w:left="20" w:right="0" w:firstLine="0"/>
      </w:pPr>
      <w:r>
        <w:rPr>
          <w:lang w:val="ru-RU" w:eastAsia="ru-RU" w:bidi="ru-RU"/>
          <w:w w:val="100"/>
          <w:spacing w:val="0"/>
          <w:color w:val="000000"/>
          <w:position w:val="0"/>
        </w:rPr>
        <w:t>(САО «ВСК»)</w:t>
      </w:r>
    </w:p>
    <w:p>
      <w:pPr>
        <w:pStyle w:val="Style3"/>
        <w:widowControl w:val="0"/>
        <w:keepNext w:val="0"/>
        <w:keepLines w:val="0"/>
        <w:shd w:val="clear" w:color="auto" w:fill="auto"/>
        <w:bidi w:val="0"/>
        <w:jc w:val="right"/>
        <w:spacing w:before="0" w:after="254" w:line="190" w:lineRule="exact"/>
        <w:ind w:left="0" w:right="20" w:firstLine="0"/>
      </w:pPr>
      <w:r>
        <w:rPr>
          <w:lang w:val="ru-RU" w:eastAsia="ru-RU" w:bidi="ru-RU"/>
          <w:w w:val="100"/>
          <w:spacing w:val="0"/>
          <w:color w:val="000000"/>
          <w:position w:val="0"/>
        </w:rPr>
        <w:t>121552, г. Москва, ул. Островная, д.4</w:t>
      </w:r>
    </w:p>
    <w:p>
      <w:pPr>
        <w:pStyle w:val="Style3"/>
        <w:widowControl w:val="0"/>
        <w:keepNext w:val="0"/>
        <w:keepLines w:val="0"/>
        <w:shd w:val="clear" w:color="auto" w:fill="auto"/>
        <w:bidi w:val="0"/>
        <w:jc w:val="left"/>
        <w:spacing w:before="0" w:after="0" w:line="190" w:lineRule="exact"/>
        <w:ind w:left="20" w:right="0" w:firstLine="0"/>
      </w:pPr>
      <w:r>
        <w:rPr>
          <w:rStyle w:val="CharStyle21"/>
          <w:b/>
          <w:bCs/>
        </w:rPr>
        <w:t>Заказчик:</w:t>
      </w:r>
    </w:p>
    <w:p>
      <w:pPr>
        <w:pStyle w:val="Style19"/>
        <w:widowControl w:val="0"/>
        <w:keepNext w:val="0"/>
        <w:keepLines w:val="0"/>
        <w:shd w:val="clear" w:color="auto" w:fill="auto"/>
        <w:bidi w:val="0"/>
        <w:jc w:val="left"/>
        <w:spacing w:before="0" w:after="222" w:line="317" w:lineRule="exact"/>
        <w:ind w:left="20" w:right="20" w:firstLine="0"/>
      </w:pPr>
      <w:r>
        <w:rPr>
          <w:lang w:val="ru-RU" w:eastAsia="ru-RU" w:bidi="ru-RU"/>
          <w:w w:val="100"/>
          <w:spacing w:val="0"/>
          <w:color w:val="000000"/>
          <w:position w:val="0"/>
        </w:rPr>
        <w:t>Управление по делам ГО, ЧС и пожарной безопасности Томской области</w:t>
      </w:r>
    </w:p>
    <w:p>
      <w:pPr>
        <w:pStyle w:val="Style3"/>
        <w:widowControl w:val="0"/>
        <w:keepNext w:val="0"/>
        <w:keepLines w:val="0"/>
        <w:shd w:val="clear" w:color="auto" w:fill="auto"/>
        <w:bidi w:val="0"/>
        <w:jc w:val="right"/>
        <w:spacing w:before="0" w:after="151" w:line="190" w:lineRule="exact"/>
        <w:ind w:left="0" w:right="20" w:firstLine="0"/>
      </w:pPr>
      <w:r>
        <w:rPr>
          <w:lang w:val="ru-RU" w:eastAsia="ru-RU" w:bidi="ru-RU"/>
          <w:w w:val="100"/>
          <w:spacing w:val="0"/>
          <w:color w:val="000000"/>
          <w:position w:val="0"/>
        </w:rPr>
        <w:t>634034, г. Томск, ул. Вершинина, д. 48/1</w:t>
      </w:r>
    </w:p>
    <w:p>
      <w:pPr>
        <w:pStyle w:val="Style3"/>
        <w:widowControl w:val="0"/>
        <w:keepNext w:val="0"/>
        <w:keepLines w:val="0"/>
        <w:shd w:val="clear" w:color="auto" w:fill="auto"/>
        <w:bidi w:val="0"/>
        <w:jc w:val="left"/>
        <w:spacing w:before="0" w:after="0" w:line="312" w:lineRule="exact"/>
        <w:ind w:left="20" w:right="0" w:firstLine="0"/>
      </w:pPr>
      <w:r>
        <w:rPr>
          <w:rStyle w:val="CharStyle21"/>
          <w:b/>
          <w:bCs/>
        </w:rPr>
        <w:t>Уполномоченный орган:</w:t>
      </w:r>
    </w:p>
    <w:p>
      <w:pPr>
        <w:pStyle w:val="Style19"/>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ОГКУ «Центр государственных закупок</w:t>
      </w:r>
    </w:p>
    <w:p>
      <w:pPr>
        <w:pStyle w:val="Style19"/>
        <w:widowControl w:val="0"/>
        <w:keepNext w:val="0"/>
        <w:keepLines w:val="0"/>
        <w:shd w:val="clear" w:color="auto" w:fill="auto"/>
        <w:bidi w:val="0"/>
        <w:jc w:val="left"/>
        <w:spacing w:before="0" w:after="0" w:line="312" w:lineRule="exact"/>
        <w:ind w:left="20" w:right="0" w:firstLine="0"/>
      </w:pPr>
      <w:r>
        <w:rPr>
          <w:lang w:val="ru-RU" w:eastAsia="ru-RU" w:bidi="ru-RU"/>
          <w:w w:val="100"/>
          <w:spacing w:val="0"/>
          <w:color w:val="000000"/>
          <w:position w:val="0"/>
        </w:rPr>
        <w:t>Томской области»</w:t>
      </w:r>
    </w:p>
    <w:p>
      <w:pPr>
        <w:pStyle w:val="Style3"/>
        <w:widowControl w:val="0"/>
        <w:keepNext w:val="0"/>
        <w:keepLines w:val="0"/>
        <w:shd w:val="clear" w:color="auto" w:fill="auto"/>
        <w:bidi w:val="0"/>
        <w:jc w:val="right"/>
        <w:spacing w:before="0" w:after="14" w:line="190" w:lineRule="exact"/>
        <w:ind w:left="0" w:right="20" w:firstLine="0"/>
      </w:pPr>
      <w:r>
        <w:rPr>
          <w:lang w:val="ru-RU" w:eastAsia="ru-RU" w:bidi="ru-RU"/>
          <w:w w:val="100"/>
          <w:spacing w:val="0"/>
          <w:color w:val="000000"/>
          <w:position w:val="0"/>
        </w:rPr>
        <w:t>адрес: 634034, Томская область, г. Томск, пер.</w:t>
      </w:r>
    </w:p>
    <w:p>
      <w:pPr>
        <w:pStyle w:val="Style3"/>
        <w:widowControl w:val="0"/>
        <w:keepNext w:val="0"/>
        <w:keepLines w:val="0"/>
        <w:shd w:val="clear" w:color="auto" w:fill="auto"/>
        <w:bidi w:val="0"/>
        <w:jc w:val="right"/>
        <w:spacing w:before="0" w:after="0" w:line="190" w:lineRule="exact"/>
        <w:ind w:left="0" w:right="20" w:firstLine="0"/>
      </w:pPr>
      <w:r>
        <w:rPr>
          <w:lang w:val="ru-RU" w:eastAsia="ru-RU" w:bidi="ru-RU"/>
          <w:w w:val="100"/>
          <w:spacing w:val="0"/>
          <w:color w:val="000000"/>
          <w:position w:val="0"/>
        </w:rPr>
        <w:t>Нахимова, д. 8</w:t>
      </w:r>
    </w:p>
    <w:p>
      <w:pPr>
        <w:pStyle w:val="Style3"/>
        <w:widowControl w:val="0"/>
        <w:keepNext w:val="0"/>
        <w:keepLines w:val="0"/>
        <w:shd w:val="clear" w:color="auto" w:fill="auto"/>
        <w:bidi w:val="0"/>
        <w:jc w:val="left"/>
        <w:spacing w:before="0" w:after="0" w:line="312" w:lineRule="exact"/>
        <w:ind w:left="20" w:right="0" w:firstLine="0"/>
      </w:pPr>
      <w:r>
        <w:rPr>
          <w:rStyle w:val="CharStyle21"/>
          <w:b/>
          <w:bCs/>
        </w:rPr>
        <w:t>конкурсная комиссия:</w:t>
      </w:r>
    </w:p>
    <w:p>
      <w:pPr>
        <w:pStyle w:val="Style19"/>
        <w:widowControl w:val="0"/>
        <w:keepNext w:val="0"/>
        <w:keepLines w:val="0"/>
        <w:shd w:val="clear" w:color="auto" w:fill="auto"/>
        <w:bidi w:val="0"/>
        <w:jc w:val="left"/>
        <w:spacing w:before="0" w:after="0" w:line="312" w:lineRule="exact"/>
        <w:ind w:left="20" w:right="20" w:firstLine="0"/>
        <w:sectPr>
          <w:type w:val="continuous"/>
          <w:pgSz w:w="11906" w:h="16838"/>
          <w:pgMar w:top="651" w:left="601" w:right="836" w:bottom="305" w:header="0" w:footer="3" w:gutter="0"/>
          <w:rtlGutter w:val="0"/>
          <w:cols w:num="2" w:space="322"/>
          <w:noEndnote/>
          <w:docGrid w:linePitch="360"/>
        </w:sectPr>
      </w:pPr>
      <w:r>
        <w:rPr>
          <w:lang w:val="ru-RU" w:eastAsia="ru-RU" w:bidi="ru-RU"/>
          <w:w w:val="100"/>
          <w:spacing w:val="0"/>
          <w:color w:val="000000"/>
          <w:position w:val="0"/>
        </w:rPr>
        <w:t>Кульменева М.Н.; Слободская Т.В.; Чесноков В.А.; Пулявский М.В.</w:t>
      </w:r>
    </w:p>
    <w:p>
      <w:pPr>
        <w:widowControl w:val="0"/>
        <w:spacing w:line="240" w:lineRule="exact"/>
        <w:rPr>
          <w:sz w:val="19"/>
          <w:szCs w:val="19"/>
        </w:rPr>
      </w:pPr>
    </w:p>
    <w:p>
      <w:pPr>
        <w:widowControl w:val="0"/>
        <w:spacing w:before="47" w:after="4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tabs>
          <w:tab w:leader="none" w:pos="9117" w:val="left"/>
        </w:tabs>
        <w:widowControl w:val="0"/>
        <w:keepNext w:val="0"/>
        <w:keepLines w:val="0"/>
        <w:shd w:val="clear" w:color="auto" w:fill="auto"/>
        <w:bidi w:val="0"/>
        <w:jc w:val="left"/>
        <w:spacing w:before="0" w:after="240" w:line="317" w:lineRule="exact"/>
        <w:ind w:left="40" w:right="340" w:firstLine="4420"/>
      </w:pPr>
      <w:r>
        <w:rPr>
          <w:lang w:val="ru-RU" w:eastAsia="ru-RU" w:bidi="ru-RU"/>
          <w:w w:val="100"/>
          <w:spacing w:val="0"/>
          <w:color w:val="000000"/>
          <w:position w:val="0"/>
        </w:rPr>
        <w:t>РЕШЕНИЕ по делу №070/06/106-230/2019 о нарушении законодательства Российской Федерации о контрактной системе в сфере закупок 14.01.2020</w:t>
        <w:tab/>
        <w:t>г. Томск</w:t>
      </w:r>
    </w:p>
    <w:p>
      <w:pPr>
        <w:pStyle w:val="Style19"/>
        <w:widowControl w:val="0"/>
        <w:keepNext w:val="0"/>
        <w:keepLines w:val="0"/>
        <w:shd w:val="clear" w:color="auto" w:fill="auto"/>
        <w:bidi w:val="0"/>
        <w:jc w:val="both"/>
        <w:spacing w:before="0" w:after="0" w:line="317" w:lineRule="exact"/>
        <w:ind w:left="40" w:right="340" w:firstLine="700"/>
      </w:pPr>
      <w:r>
        <w:rPr>
          <w:lang w:val="ru-RU" w:eastAsia="ru-RU" w:bidi="ru-RU"/>
          <w:w w:val="100"/>
          <w:spacing w:val="0"/>
          <w:color w:val="000000"/>
          <w:position w:val="0"/>
        </w:rPr>
        <w:t>Комиссия Управления Федеральной антимонопольной службы по Томской области по контролю законодательства о контрактной системе в сфере закупок,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(подрядчиком, исполнителем) (далее - Комиссия Томского У ФАС России) в составе:</w:t>
      </w:r>
    </w:p>
    <w:p>
      <w:pPr>
        <w:pStyle w:val="Style19"/>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председателя комиссии:</w:t>
      </w:r>
    </w:p>
    <w:p>
      <w:pPr>
        <w:pStyle w:val="Style19"/>
        <w:tabs>
          <w:tab w:leader="none" w:pos="2815"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Алиева Р.А.,</w:t>
        <w:tab/>
        <w:t>заместителя руководителя-начальника отдела контроля</w:t>
      </w:r>
    </w:p>
    <w:p>
      <w:pPr>
        <w:pStyle w:val="Style19"/>
        <w:widowControl w:val="0"/>
        <w:keepNext w:val="0"/>
        <w:keepLines w:val="0"/>
        <w:shd w:val="clear" w:color="auto" w:fill="auto"/>
        <w:bidi w:val="0"/>
        <w:jc w:val="left"/>
        <w:spacing w:before="0" w:after="0" w:line="317" w:lineRule="exact"/>
        <w:ind w:left="740" w:right="6660" w:firstLine="2140"/>
      </w:pPr>
      <w:r>
        <w:rPr>
          <w:lang w:val="ru-RU" w:eastAsia="ru-RU" w:bidi="ru-RU"/>
          <w:w w:val="100"/>
          <w:spacing w:val="0"/>
          <w:color w:val="000000"/>
          <w:position w:val="0"/>
        </w:rPr>
        <w:t>закупок; членов комиссии:</w:t>
      </w:r>
    </w:p>
    <w:p>
      <w:pPr>
        <w:pStyle w:val="Style19"/>
        <w:tabs>
          <w:tab w:leader="none" w:pos="2815"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Лосева В.Г.</w:t>
        <w:tab/>
        <w:t>заместителя начальника отдела контроля закупок;</w:t>
      </w:r>
    </w:p>
    <w:p>
      <w:pPr>
        <w:pStyle w:val="Style19"/>
        <w:tabs>
          <w:tab w:leader="none" w:pos="2815"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Кончиц Н.С.,</w:t>
        <w:tab/>
        <w:t>главного специалиста - эксперта отдела контроля закупок;</w:t>
      </w:r>
    </w:p>
    <w:p>
      <w:pPr>
        <w:pStyle w:val="Style19"/>
        <w:tabs>
          <w:tab w:leader="none" w:pos="2815"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Макиевой К. А.</w:t>
        <w:tab/>
        <w:t>специалиста - эксперта отдела контроля закупок,</w:t>
      </w:r>
    </w:p>
    <w:p>
      <w:pPr>
        <w:pStyle w:val="Style19"/>
        <w:tabs>
          <w:tab w:leader="none" w:pos="2815" w:val="left"/>
        </w:tabs>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Никитиной Д.А.</w:t>
        <w:tab/>
        <w:t>специалиста - эксперта отдела контроля закупок,</w:t>
      </w:r>
    </w:p>
    <w:p>
      <w:pPr>
        <w:pStyle w:val="Style19"/>
        <w:widowControl w:val="0"/>
        <w:keepNext w:val="0"/>
        <w:keepLines w:val="0"/>
        <w:shd w:val="clear" w:color="auto" w:fill="auto"/>
        <w:bidi w:val="0"/>
        <w:jc w:val="both"/>
        <w:spacing w:before="0" w:after="0" w:line="317" w:lineRule="exact"/>
        <w:ind w:left="40" w:right="0" w:firstLine="700"/>
      </w:pPr>
      <w:r>
        <w:rPr>
          <w:lang w:val="ru-RU" w:eastAsia="ru-RU" w:bidi="ru-RU"/>
          <w:w w:val="100"/>
          <w:spacing w:val="0"/>
          <w:color w:val="000000"/>
          <w:position w:val="0"/>
        </w:rPr>
        <w:t>при участии:</w:t>
      </w:r>
    </w:p>
    <w:p>
      <w:pPr>
        <w:pStyle w:val="Style19"/>
        <w:widowControl w:val="0"/>
        <w:keepNext w:val="0"/>
        <w:keepLines w:val="0"/>
        <w:shd w:val="clear" w:color="auto" w:fill="auto"/>
        <w:bidi w:val="0"/>
        <w:jc w:val="both"/>
        <w:spacing w:before="0" w:after="882" w:line="317" w:lineRule="exact"/>
        <w:ind w:left="40" w:right="340" w:firstLine="700"/>
      </w:pPr>
      <w:r>
        <w:rPr>
          <w:lang w:val="ru-RU" w:eastAsia="ru-RU" w:bidi="ru-RU"/>
          <w:w w:val="100"/>
          <w:spacing w:val="0"/>
          <w:color w:val="000000"/>
          <w:position w:val="0"/>
        </w:rPr>
        <w:t>представителя САО «ВСК» (далее - Заявитель) Романовой А.И. (доверенность №б/н от 03.06.2019),</w:t>
      </w:r>
    </w:p>
    <w:p>
      <w:pPr>
        <w:pStyle w:val="Style22"/>
        <w:widowControl w:val="0"/>
        <w:keepNext/>
        <w:keepLines/>
        <w:shd w:val="clear" w:color="auto" w:fill="auto"/>
        <w:bidi w:val="0"/>
        <w:jc w:val="left"/>
        <w:spacing w:before="0" w:after="0" w:line="340" w:lineRule="exact"/>
        <w:ind w:left="8480" w:right="0" w:firstLine="0"/>
      </w:pPr>
      <w:bookmarkStart w:id="1" w:name="bookmark1"/>
      <w:r>
        <w:rPr>
          <w:lang w:val="ru-RU" w:eastAsia="ru-RU" w:bidi="ru-RU"/>
          <w:w w:val="100"/>
          <w:color w:val="000000"/>
          <w:position w:val="0"/>
        </w:rPr>
        <w:t>007260</w:t>
      </w:r>
      <w:bookmarkEnd w:id="1"/>
      <w:r>
        <w:br w:type="page"/>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представителя Управления по делам ГО, ЧС и пожарной безопасности Томской области (далее - Заказчик) Костомарова О.И. (доверенность №14 от </w:t>
      </w:r>
      <w:r>
        <w:rPr>
          <w:rStyle w:val="CharStyle24"/>
        </w:rPr>
        <w:t>10</w:t>
      </w:r>
      <w:r>
        <w:rPr>
          <w:rStyle w:val="CharStyle25"/>
        </w:rPr>
        <w:t>.</w:t>
      </w:r>
      <w:r>
        <w:rPr>
          <w:rStyle w:val="CharStyle24"/>
        </w:rPr>
        <w:t>01</w:t>
      </w:r>
      <w:r>
        <w:rPr>
          <w:rStyle w:val="CharStyle25"/>
        </w:rPr>
        <w:t>.</w:t>
      </w:r>
      <w:r>
        <w:rPr>
          <w:rStyle w:val="CharStyle24"/>
        </w:rPr>
        <w:t>2020</w:t>
      </w:r>
      <w:r>
        <w:rPr>
          <w:rStyle w:val="CharStyle25"/>
        </w:rPr>
        <w:t>),</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представителя ОГКУ «Центр государственных закупок Томской области» (далее - Уполномоченный орган) Чеснокова В.А. (доверенность №04 от 13.01.2020), Лоскутовой И.В. (доверенность №02 от 09.01.2020)</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рассмотрев жалобу САО «ВСК» на действия конкурсной комиссии ОГКУ «Центр государственных закупок Томской области» (далее - конкурсная комиссия) при проведении открытого конкурса в электронной форме «Оказание услуг по обязательному страхованию гражданской ответственности (ОСАГО) владельцев транспортных средств для нужд ОГУ «УГОЧСПБ ТО» в 2020-2021 годах» (извещение №0865200000319002543 от 25.11.2019) (далее - Конкурс), и проведя внеплановую проверку в соответствии с п.1 ч.15 ст.99 Федерального закона от</w:t>
      </w:r>
    </w:p>
    <w:p>
      <w:pPr>
        <w:pStyle w:val="Style19"/>
        <w:numPr>
          <w:ilvl w:val="0"/>
          <w:numId w:val="1"/>
        </w:numPr>
        <w:tabs>
          <w:tab w:leader="none" w:pos="1394" w:val="left"/>
        </w:tabs>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w:t>
      </w:r>
    </w:p>
    <w:p>
      <w:pPr>
        <w:pStyle w:val="Style19"/>
        <w:widowControl w:val="0"/>
        <w:keepNext w:val="0"/>
        <w:keepLines w:val="0"/>
        <w:shd w:val="clear" w:color="auto" w:fill="auto"/>
        <w:bidi w:val="0"/>
        <w:jc w:val="center"/>
        <w:spacing w:before="0" w:after="252" w:line="260" w:lineRule="exact"/>
        <w:ind w:left="0" w:right="0" w:firstLine="0"/>
      </w:pPr>
      <w:r>
        <w:rPr>
          <w:rStyle w:val="CharStyle26"/>
        </w:rPr>
        <w:t>УСТАНОВИЛА:</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Томское УФАС России обратилось САО «ВСК» с жалобой, поданной в срок и соответствующей ст. 105 Закона 44-ФЗ, на действия конкурсной комиссии, нарушающие, по мнению Заявителя, Закон о контрактной системе.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Из жалобы Заявителя следует, что конкурсная комиссия неправомерно признала заявку участника САО «ВСК» не соответствующей требованиям конкурсной документации, а также то, что Заказчиком в конкурсной документации неправомерно установлено требование о наличии в каждом субъекте Российской Федерации своего представителя, уполномоченного на рассмотрение требований потерпевших о страховом возмещении и прямом возмещении убытков, организацию осмотра и (или) независимой технической экспертизы, независимой экспертизы (оценки) поврежденного имущества или его остатков, а также на осуществление страхового возмещения и прямого возмещения убытков.</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Заказчик и Уполномоченный орган с доводами жалобы не согласились, пояснило, что конкурсная комиссия действовала в соответствии с требованиями действующего законодательства.</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В результате рассмотрения жалобы и осуществления в соответствии с п.1 ч.15 ст.99 Закона о контрактной системе внеплановой проверки Комиссия Томского УФАС России установила следующее.</w:t>
      </w:r>
    </w:p>
    <w:p>
      <w:pPr>
        <w:pStyle w:val="Style19"/>
        <w:widowControl w:val="0"/>
        <w:keepNext w:val="0"/>
        <w:keepLines w:val="0"/>
        <w:shd w:val="clear" w:color="auto" w:fill="auto"/>
        <w:bidi w:val="0"/>
        <w:jc w:val="both"/>
        <w:spacing w:before="0" w:after="0" w:line="317" w:lineRule="exact"/>
        <w:ind w:left="20" w:right="20" w:firstLine="700"/>
      </w:pPr>
      <w:r>
        <w:rPr>
          <w:lang w:val="ru-RU" w:eastAsia="ru-RU" w:bidi="ru-RU"/>
          <w:w w:val="100"/>
          <w:spacing w:val="0"/>
          <w:color w:val="000000"/>
          <w:position w:val="0"/>
        </w:rPr>
        <w:t xml:space="preserve">Извещение №0865200000319002543 о проведении Конкурса размещено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ЕИС) - 25.11.2019.</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Начальная (максимальная) цена контракта - 14 464, 93 рубля.</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На участие в Конкурсе подано 4 заявки.</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Контракт на момент рассмотрения жалобы не заключен.</w:t>
      </w:r>
    </w:p>
    <w:p>
      <w:pPr>
        <w:pStyle w:val="Style19"/>
        <w:numPr>
          <w:ilvl w:val="0"/>
          <w:numId w:val="3"/>
        </w:numPr>
        <w:tabs>
          <w:tab w:leader="none" w:pos="1062" w:val="left"/>
        </w:tabs>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п.1 чЛ ст.31 Закона 44-ФЗ при осуществлении закупки заказчик устанавливает единые требования к участникам закупки, в т.ч.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п.1 ч.1 ст.21 Федерального закона от 25.04.2002 №40-ФЗ «Об обязательном страховании гражданской ответственности владельцев транспортных средств» (далее - Закон об ОСАГО) страховщик должен иметь в каждом субъекте Российской Федерации своего представителя, уполномоченного на рассмотрение требований потерпевших о страховом возмещении и прямом возмещении убытков, организацию осмотра и (или) независимой технической экспертизы, независимой экспертизы (оценки) поврежденного имущества или его остатков, а также на осуществление страхового возмещения и прямого возмещения убытков. При осуществлении страхового возмещения путем организации и оплаты восстановительного ремонта поврежденного транспортного средства на станции технического обслуживания по месту нахождения представителя страховщика последний на основании решения страховщика организует осуществление такого ремонта.</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п.З ч.б ст.54.4 Закона 44-ФЗ вторая часть заявки на участие в открытом конкурсе в электронной форме должна содержать также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п.1 ч.1 ст.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п.п.З - 9, 11 ч.1 ст.31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Пунктом 2.1 конкурсной документации установлены требования к участникам конкурса:</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«Участник конкурса должен соответствовать требованиям, установленным в соответствии с законодательством Российской Федерации к лицам, осуществляющим оказание услуги, являющейся объектом закупки:</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наличие в каждом субъекте Российской Федерации своего представителя, уполномоченного на рассмотрение требований потерпевших о страховом возмещении и прямом возмещении убытков, организацию осмотра и (или) независимой технической экспертизы, независимой экспертизы (оценки) поврежденного имущества или его остатков, а также на осуществление страхового возмещения и прямого возмещения убытков».</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силу ч.З ст.54.7 Закона 44-ФЗ конкурсной комиссией на основании результатов рассмотрения вторых частей заявок, документов и информации, предусмотренных ч. 11 ст.24.1 настоящего Федерального закона,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ч.4 ст.54.7 Закона 44-ФЗ Заявка на участие в открытом конкурсе в электронной форме признается не соответствующей требованиям, установленным конкурсной документацией:</w:t>
      </w:r>
    </w:p>
    <w:p>
      <w:pPr>
        <w:pStyle w:val="Style19"/>
        <w:numPr>
          <w:ilvl w:val="0"/>
          <w:numId w:val="5"/>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 случае непредставления документов и информации, предусмотренных п.п.1 - 3, 7 ч.б ст.54.4 настоящего Федерального закона, либо несоответствия указанных документов и информации требованиям, установленным конкурсной документацией;</w:t>
      </w:r>
    </w:p>
    <w:p>
      <w:pPr>
        <w:pStyle w:val="Style19"/>
        <w:numPr>
          <w:ilvl w:val="0"/>
          <w:numId w:val="5"/>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 случае наличия в документах и информации, предусмотренных ч. 11 ст.24.1, ч.ч.4 и 6 ст.54.4 настоящего Федерального закона, недостоверной информации на дату и время рассмотрения вторых частей заявок на участие в таком конкурсе;</w:t>
      </w:r>
    </w:p>
    <w:p>
      <w:pPr>
        <w:pStyle w:val="Style19"/>
        <w:numPr>
          <w:ilvl w:val="0"/>
          <w:numId w:val="5"/>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чЛ, ч.1.1 и 2.1 (при наличии таких требований) ст.31 настоящего Федерального закона;</w:t>
      </w:r>
    </w:p>
    <w:p>
      <w:pPr>
        <w:pStyle w:val="Style19"/>
        <w:numPr>
          <w:ilvl w:val="0"/>
          <w:numId w:val="5"/>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 14 настоящего Федерального закона;</w:t>
      </w:r>
    </w:p>
    <w:p>
      <w:pPr>
        <w:pStyle w:val="Style19"/>
        <w:numPr>
          <w:ilvl w:val="0"/>
          <w:numId w:val="5"/>
        </w:numPr>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xml:space="preserve"> в случае непредставления документов, предусмотренных п.5 ч.б ст.54.4 настоящего Федерального закона, при осуществлении закупки товаров, работ, услуг, в отношении которых установлен запрет, предусмотренный ст. 14 настоящего Федерального закона.</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Согласно протоколу рассмотрения и оценки вторых частей заявок на участие в открытом конкурсе в электронной форме от 27.12.2019 №ПРОП1» заявка участника Конкурса с идентификационным номером 106323729 (САО «ВСК») признана не соответствующей требованиям конкурсной документации по следующим основаниям: «На основании п.п.1, 3 ч.4 ст.54.7 Федерального закона от</w:t>
      </w:r>
    </w:p>
    <w:p>
      <w:pPr>
        <w:pStyle w:val="Style19"/>
        <w:numPr>
          <w:ilvl w:val="0"/>
          <w:numId w:val="7"/>
        </w:numPr>
        <w:tabs>
          <w:tab w:leader="none" w:pos="1398" w:val="left"/>
        </w:tabs>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 44-ФЗ «О контрактной системе в сфере закупок товаров, работ, услуг для обеспечения государственных и муниципальных нужд» (далее - Закон).</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соответствии с п.З ч.б ст. 54.4 Закона и п. 6.1. инструкции участникам открытого конкурса в электронной форме (далее - конкурс) документации об открытом конкурсе в электронной форме (далее - инструкция) вторая часть заявки на участие в конкурсе должна содержать документы, подтверждающие соответствие участника конкурса требованиям, установленным п.1 ч.1 ст.31 Закона, п.2.1 инструкции, или копии этих документов, в том числе:</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 перечень представителей участника открытого конкурса в электронной форме (Страховщика) в каждом субъекте Российской Федерации, уполномоченных на рассмотрение требований потерпевших о страховом возмещении и прямом возмещении убытков, организацию осмотра и (или) независимой технической экспертизы, независимой экспертизы (оценки) поврежденного имущества или его остатков, а также на осуществление страхового возмещения и прямого возмещения убытков», а именно:</w:t>
      </w:r>
    </w:p>
    <w:p>
      <w:pPr>
        <w:pStyle w:val="Style19"/>
        <w:widowControl w:val="0"/>
        <w:keepNext w:val="0"/>
        <w:keepLines w:val="0"/>
        <w:shd w:val="clear" w:color="auto" w:fill="auto"/>
        <w:bidi w:val="0"/>
        <w:jc w:val="both"/>
        <w:spacing w:before="0" w:after="0" w:line="317" w:lineRule="exact"/>
        <w:ind w:left="20" w:right="20" w:firstLine="720"/>
      </w:pPr>
      <w:r>
        <w:rPr>
          <w:lang w:val="ru-RU" w:eastAsia="ru-RU" w:bidi="ru-RU"/>
          <w:w w:val="100"/>
          <w:spacing w:val="0"/>
          <w:color w:val="000000"/>
          <w:position w:val="0"/>
        </w:rPr>
        <w:t>«В составе второй части заявки на участие в конкурсе отсутствуют документы, подтверждающие наличие представителей участника конкурса (Страховщика) в каждом субъекте Российской Федерации, уполномоченных на рассмотрение требований потерпевших о страховом возмещении и прямом возмещении убытков, организацию осмотра и (или) независимой технической экспертизы, независимой экспертизы (оценки) поврежденного имущества или его остатков, а также на осуществление страхового возмещения и прямого возмещения убытков в следующих субъектах Российской Федерации: Республика Крым, Севастополь. Таким образом, участник конкурса не подтвердил свое соответствие требованиям, установленным п. 1 4.1 ст.31 Закона и п.2.1 инструкции».</w:t>
      </w:r>
    </w:p>
    <w:p>
      <w:pPr>
        <w:pStyle w:val="Style19"/>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составе второй части заявки участника Конкурса с идентификационным номером 106323729 (САО «ВСК») отсутствуют документы, подтверждающие наличие представителей участника конкурса (Страховщика) в каждом субъекте Российской Федерации, уполномоченных на рассмотрение требований потерпевших о страховом возмещении и прямом возмещении убытков, организацию осмотра и (или) независимой технической экспертизы, независимой экспертизы (оценки) поврежденного имущества или его остатков, а также на осуществление страхового возмещения и прямого возмещения убытков в следующих субъектах Российской Федерации: Республика Крым, Севастополь.</w:t>
      </w:r>
    </w:p>
    <w:p>
      <w:pPr>
        <w:pStyle w:val="Style19"/>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Таким образом, в действиях конкурсной комиссии не выявлено нарушений Законодательства о контрактной системе в сфере закупок, довод Заявителя о неправомерном признании заявки участника САО «ВСК» не соответствующей требованиям конкурсной документации является необоснованным.</w:t>
      </w:r>
    </w:p>
    <w:p>
      <w:pPr>
        <w:pStyle w:val="Style19"/>
        <w:numPr>
          <w:ilvl w:val="0"/>
          <w:numId w:val="3"/>
        </w:numPr>
        <w:tabs>
          <w:tab w:leader="none" w:pos="1082" w:val="left"/>
        </w:tabs>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Жалоба содержит указание на то, что Заказчиком в конкурсной документации неправомерно установлено требование о наличии в каждом субъекте Российской Федерации своего представителя, уполномоченного на рассмотрение требований потерпевших о страховом возмещении и прямом возмещении убытков, организацию осмотра и (или) независимой технической экспертизы, независимой экспертизы (оценки) поврежденного имущества или его остатков, а также на осуществление страхового возмещения и прямого возмещения убытков.</w:t>
      </w:r>
    </w:p>
    <w:p>
      <w:pPr>
        <w:pStyle w:val="Style19"/>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Датой окончания подачи заявок, согласно извещению об осуществлении закупки, является 23.12.2019 10:00.</w:t>
      </w:r>
    </w:p>
    <w:p>
      <w:pPr>
        <w:pStyle w:val="Style19"/>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Вместе с тем, жалоба на действия Заказчика подана в Томское УФАС 30.12.2019.</w:t>
      </w:r>
    </w:p>
    <w:p>
      <w:pPr>
        <w:pStyle w:val="Style19"/>
        <w:widowControl w:val="0"/>
        <w:keepNext w:val="0"/>
        <w:keepLines w:val="0"/>
        <w:shd w:val="clear" w:color="auto" w:fill="auto"/>
        <w:bidi w:val="0"/>
        <w:jc w:val="both"/>
        <w:spacing w:before="0" w:after="0" w:line="317" w:lineRule="exact"/>
        <w:ind w:left="40" w:right="40" w:firstLine="700"/>
      </w:pPr>
      <w:r>
        <w:rPr>
          <w:lang w:val="ru-RU" w:eastAsia="ru-RU" w:bidi="ru-RU"/>
          <w:w w:val="100"/>
          <w:spacing w:val="0"/>
          <w:color w:val="000000"/>
          <w:position w:val="0"/>
        </w:rPr>
        <w:t>В соответствии с п.3.37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w:t>
      </w:r>
    </w:p>
    <w:p>
      <w:pPr>
        <w:pStyle w:val="Style19"/>
        <w:numPr>
          <w:ilvl w:val="0"/>
          <w:numId w:val="9"/>
        </w:numPr>
        <w:tabs>
          <w:tab w:leader="none" w:pos="1452" w:val="left"/>
        </w:tabs>
        <w:widowControl w:val="0"/>
        <w:keepNext w:val="0"/>
        <w:keepLines w:val="0"/>
        <w:shd w:val="clear" w:color="auto" w:fill="auto"/>
        <w:bidi w:val="0"/>
        <w:jc w:val="both"/>
        <w:spacing w:before="0" w:after="0" w:line="317" w:lineRule="exact"/>
        <w:ind w:left="40" w:right="40" w:firstLine="0"/>
      </w:pPr>
      <w:r>
        <w:rPr>
          <w:lang w:val="ru-RU" w:eastAsia="ru-RU" w:bidi="ru-RU"/>
          <w:w w:val="100"/>
          <w:spacing w:val="0"/>
          <w:color w:val="000000"/>
          <w:position w:val="0"/>
        </w:rPr>
        <w:t>№727/14, в случае если одним из доводов жалобы является обжалование положений документации о закупке после окончания установленного срока подачи заявок, рассмотрение данного довода жалобы не проводится и резолютивная часть решения должна содержать выводы Комиссии о том, что рассмотрение данного довода жалобы не проводится в соответствии с ч. 3, 4 ст. 105 Закона о контрактной системе.</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Таким образом, в соответствии с ч. 3, 4 ст. 105 Закона о контрактной системе рассмотрение данного довода жалобы Заявителя Комиссией Томского УФАС не проводится.</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По результатам проведения внеплановой проверки Комиссией Томского УФАС не установлено нарушений 106 Закона о контрактной системе.</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Исходя из вышеизложенного, Комиссия Томского УФАС России пришла к выводу о необоснованности жалобы Заявителя.</w:t>
      </w:r>
    </w:p>
    <w:p>
      <w:pPr>
        <w:pStyle w:val="Style19"/>
        <w:widowControl w:val="0"/>
        <w:keepNext w:val="0"/>
        <w:keepLines w:val="0"/>
        <w:shd w:val="clear" w:color="auto" w:fill="auto"/>
        <w:bidi w:val="0"/>
        <w:jc w:val="both"/>
        <w:spacing w:before="0" w:after="362" w:line="317" w:lineRule="exact"/>
        <w:ind w:left="20" w:right="0" w:firstLine="700"/>
      </w:pPr>
      <w:r>
        <w:rPr>
          <w:lang w:val="ru-RU" w:eastAsia="ru-RU" w:bidi="ru-RU"/>
          <w:w w:val="100"/>
          <w:spacing w:val="0"/>
          <w:color w:val="000000"/>
          <w:position w:val="0"/>
        </w:rPr>
        <w:t>Принимая во внимание вышеизложенное, и руководствуясь ч.1 ст.2, п.1 ч. 15, п.2 ч.22 ст.99, ч.8 ст. 106 Закона о контрактной системе, Комиссия Томского УФАС России,</w:t>
      </w:r>
    </w:p>
    <w:p>
      <w:pPr>
        <w:pStyle w:val="Style8"/>
        <w:widowControl w:val="0"/>
        <w:keepNext w:val="0"/>
        <w:keepLines w:val="0"/>
        <w:shd w:val="clear" w:color="auto" w:fill="auto"/>
        <w:bidi w:val="0"/>
        <w:jc w:val="left"/>
        <w:spacing w:before="0" w:after="311" w:line="240" w:lineRule="exact"/>
        <w:ind w:left="4720" w:right="0" w:firstLine="0"/>
      </w:pPr>
      <w:r>
        <w:rPr>
          <w:rStyle w:val="CharStyle27"/>
          <w:b/>
          <w:bCs/>
        </w:rPr>
        <w:t>РЕШИЛА:</w:t>
      </w:r>
    </w:p>
    <w:p>
      <w:pPr>
        <w:pStyle w:val="Style19"/>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Признать жалобу САО «ВСК» необоснованной.</w:t>
      </w:r>
    </w:p>
    <w:p>
      <w:pPr>
        <w:pStyle w:val="Style19"/>
        <w:widowControl w:val="0"/>
        <w:keepNext w:val="0"/>
        <w:keepLines w:val="0"/>
        <w:shd w:val="clear" w:color="auto" w:fill="auto"/>
        <w:bidi w:val="0"/>
        <w:jc w:val="both"/>
        <w:spacing w:before="0" w:after="466" w:line="317" w:lineRule="exact"/>
        <w:ind w:left="20" w:right="0" w:firstLine="700"/>
      </w:pPr>
      <w:r>
        <w:rPr>
          <w:lang w:val="ru-RU" w:eastAsia="ru-RU" w:bidi="ru-RU"/>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19"/>
        <w:widowControl w:val="0"/>
        <w:keepNext w:val="0"/>
        <w:keepLines w:val="0"/>
        <w:shd w:val="clear" w:color="auto" w:fill="auto"/>
        <w:bidi w:val="0"/>
        <w:jc w:val="both"/>
        <w:spacing w:before="0" w:after="352" w:line="260" w:lineRule="exact"/>
        <w:ind w:left="20" w:right="0" w:firstLine="0"/>
      </w:pPr>
      <w:r>
        <w:rPr>
          <w:lang w:val="ru-RU" w:eastAsia="ru-RU" w:bidi="ru-RU"/>
          <w:w w:val="100"/>
          <w:spacing w:val="0"/>
          <w:color w:val="000000"/>
          <w:position w:val="0"/>
        </w:rPr>
        <w:t>Председатель комиссии</w:t>
      </w:r>
    </w:p>
    <w:p>
      <w:pPr>
        <w:pStyle w:val="Style19"/>
        <w:widowControl w:val="0"/>
        <w:keepNext w:val="0"/>
        <w:keepLines w:val="0"/>
        <w:shd w:val="clear" w:color="auto" w:fill="auto"/>
        <w:bidi w:val="0"/>
        <w:jc w:val="both"/>
        <w:spacing w:before="0" w:after="0" w:line="260" w:lineRule="exact"/>
        <w:ind w:left="20" w:right="0" w:firstLine="0"/>
      </w:pPr>
      <w:r>
        <w:rPr>
          <w:lang w:val="ru-RU" w:eastAsia="ru-RU" w:bidi="ru-RU"/>
          <w:w w:val="100"/>
          <w:spacing w:val="0"/>
          <w:color w:val="000000"/>
          <w:position w:val="0"/>
        </w:rPr>
        <w:t>Члены комиссии</w:t>
      </w:r>
    </w:p>
    <w:sectPr>
      <w:type w:val="continuous"/>
      <w:pgSz w:w="11906" w:h="16838"/>
      <w:pgMar w:top="921" w:left="601" w:right="601" w:bottom="839" w:header="0" w:footer="3" w:gutter="168"/>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Exact"/>
    <w:basedOn w:val="DefaultParagraphFont"/>
    <w:rPr>
      <w:b/>
      <w:bCs/>
      <w:i w:val="0"/>
      <w:iCs w:val="0"/>
      <w:u w:val="none"/>
      <w:strike w:val="0"/>
      <w:smallCaps w:val="0"/>
      <w:sz w:val="18"/>
      <w:szCs w:val="18"/>
      <w:rFonts w:ascii="Times New Roman" w:eastAsia="Times New Roman" w:hAnsi="Times New Roman" w:cs="Times New Roman"/>
      <w:spacing w:val="4"/>
    </w:rPr>
  </w:style>
  <w:style w:type="character" w:customStyle="1" w:styleId="CharStyle6">
    <w:name w:val="Основной текст (2) Exact"/>
    <w:basedOn w:val="CharStyle4"/>
    <w:rPr>
      <w:lang w:val="ru-RU" w:eastAsia="ru-RU" w:bidi="ru-RU"/>
      <w:sz w:val="18"/>
      <w:szCs w:val="18"/>
      <w:w w:val="100"/>
      <w:spacing w:val="4"/>
      <w:color w:val="000000"/>
      <w:position w:val="0"/>
    </w:rPr>
  </w:style>
  <w:style w:type="character" w:customStyle="1" w:styleId="CharStyle7">
    <w:name w:val="Основной текст (2)"/>
    <w:basedOn w:val="CharStyle4"/>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rFonts w:ascii="Times New Roman" w:eastAsia="Times New Roman" w:hAnsi="Times New Roman" w:cs="Times New Roman"/>
    </w:rPr>
  </w:style>
  <w:style w:type="character" w:customStyle="1" w:styleId="CharStyle10">
    <w:name w:val="Основной текст (3)"/>
    <w:basedOn w:val="CharStyle9"/>
    <w:rPr>
      <w:lang w:val="ru-RU" w:eastAsia="ru-RU" w:bidi="ru-RU"/>
      <w:sz w:val="24"/>
      <w:szCs w:val="24"/>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4)"/>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val="0"/>
      <w:bCs w:val="0"/>
      <w:i/>
      <w:iCs/>
      <w:u w:val="none"/>
      <w:strike w:val="0"/>
      <w:smallCaps w:val="0"/>
      <w:sz w:val="32"/>
      <w:szCs w:val="32"/>
      <w:rFonts w:ascii="Impact" w:eastAsia="Impact" w:hAnsi="Impact" w:cs="Impact"/>
    </w:rPr>
  </w:style>
  <w:style w:type="character" w:customStyle="1" w:styleId="CharStyle16">
    <w:name w:val="Заголовок №1"/>
    <w:basedOn w:val="CharStyle15"/>
    <w:rPr>
      <w:lang w:val="ru-RU" w:eastAsia="ru-RU" w:bidi="ru-RU"/>
      <w:u w:val="single"/>
      <w:w w:val="100"/>
      <w:spacing w:val="0"/>
      <w:color w:val="000000"/>
      <w:position w:val="0"/>
    </w:rPr>
  </w:style>
  <w:style w:type="character" w:customStyle="1" w:styleId="CharStyle17">
    <w:name w:val="Заголовок №1"/>
    <w:basedOn w:val="CharStyle15"/>
    <w:rPr>
      <w:lang w:val="ru-RU" w:eastAsia="ru-RU" w:bidi="ru-RU"/>
      <w:w w:val="100"/>
      <w:spacing w:val="0"/>
      <w:color w:val="000000"/>
      <w:position w:val="0"/>
    </w:rPr>
  </w:style>
  <w:style w:type="character" w:customStyle="1" w:styleId="CharStyle18">
    <w:name w:val="Основной текст (2)"/>
    <w:basedOn w:val="CharStyle4"/>
    <w:rPr>
      <w:lang w:val="ru-RU" w:eastAsia="ru-RU" w:bidi="ru-RU"/>
      <w:w w:val="100"/>
      <w:spacing w:val="0"/>
      <w:color w:val="000000"/>
      <w:position w:val="0"/>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2)"/>
    <w:basedOn w:val="CharStyle4"/>
    <w:rPr>
      <w:lang w:val="ru-RU" w:eastAsia="ru-RU" w:bidi="ru-RU"/>
      <w:u w:val="single"/>
      <w:w w:val="100"/>
      <w:spacing w:val="0"/>
      <w:color w:val="000000"/>
      <w:position w:val="0"/>
    </w:rPr>
  </w:style>
  <w:style w:type="character" w:customStyle="1" w:styleId="CharStyle23">
    <w:name w:val="Заголовок №1 (2)_"/>
    <w:basedOn w:val="DefaultParagraphFont"/>
    <w:link w:val="Style22"/>
    <w:rPr>
      <w:b w:val="0"/>
      <w:bCs w:val="0"/>
      <w:i w:val="0"/>
      <w:iCs w:val="0"/>
      <w:u w:val="none"/>
      <w:strike w:val="0"/>
      <w:smallCaps w:val="0"/>
      <w:sz w:val="34"/>
      <w:szCs w:val="34"/>
      <w:rFonts w:ascii="Times New Roman" w:eastAsia="Times New Roman" w:hAnsi="Times New Roman" w:cs="Times New Roman"/>
      <w:spacing w:val="40"/>
    </w:rPr>
  </w:style>
  <w:style w:type="character" w:customStyle="1" w:styleId="CharStyle24">
    <w:name w:val="Основной текст + 12 pt,Интервал 0 pt"/>
    <w:basedOn w:val="CharStyle20"/>
    <w:rPr>
      <w:lang w:val="ru-RU" w:eastAsia="ru-RU" w:bidi="ru-RU"/>
      <w:sz w:val="24"/>
      <w:szCs w:val="24"/>
      <w:w w:val="100"/>
      <w:spacing w:val="10"/>
      <w:color w:val="000000"/>
      <w:position w:val="0"/>
    </w:rPr>
  </w:style>
  <w:style w:type="character" w:customStyle="1" w:styleId="CharStyle25">
    <w:name w:val="Основной текст + 12 pt"/>
    <w:basedOn w:val="CharStyle20"/>
    <w:rPr>
      <w:lang w:val="ru-RU" w:eastAsia="ru-RU" w:bidi="ru-RU"/>
      <w:sz w:val="24"/>
      <w:szCs w:val="24"/>
      <w:w w:val="100"/>
      <w:spacing w:val="0"/>
      <w:color w:val="000000"/>
      <w:position w:val="0"/>
    </w:rPr>
  </w:style>
  <w:style w:type="character" w:customStyle="1" w:styleId="CharStyle26">
    <w:name w:val="Основной текст + Интервал 3 pt"/>
    <w:basedOn w:val="CharStyle20"/>
    <w:rPr>
      <w:lang w:val="ru-RU" w:eastAsia="ru-RU" w:bidi="ru-RU"/>
      <w:w w:val="100"/>
      <w:spacing w:val="60"/>
      <w:color w:val="000000"/>
      <w:position w:val="0"/>
    </w:rPr>
  </w:style>
  <w:style w:type="character" w:customStyle="1" w:styleId="CharStyle27">
    <w:name w:val="Основной текст (3) + Интервал 3 pt"/>
    <w:basedOn w:val="CharStyle9"/>
    <w:rPr>
      <w:lang w:val="ru-RU" w:eastAsia="ru-RU" w:bidi="ru-RU"/>
      <w:sz w:val="24"/>
      <w:szCs w:val="24"/>
      <w:w w:val="100"/>
      <w:spacing w:val="6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after="60" w:line="278" w:lineRule="exact"/>
    </w:pPr>
    <w:rPr>
      <w:b/>
      <w:bCs/>
      <w:i w:val="0"/>
      <w:iCs w:val="0"/>
      <w:u w:val="none"/>
      <w:strike w:val="0"/>
      <w:smallCaps w:val="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before="60" w:after="60" w:line="221"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outlineLvl w:val="0"/>
      <w:spacing w:before="60" w:after="420" w:line="0" w:lineRule="exact"/>
    </w:pPr>
    <w:rPr>
      <w:b w:val="0"/>
      <w:bCs w:val="0"/>
      <w:i/>
      <w:iCs/>
      <w:u w:val="none"/>
      <w:strike w:val="0"/>
      <w:smallCaps w:val="0"/>
      <w:sz w:val="32"/>
      <w:szCs w:val="32"/>
      <w:rFonts w:ascii="Impact" w:eastAsia="Impact" w:hAnsi="Impact" w:cs="Impact"/>
    </w:rPr>
  </w:style>
  <w:style w:type="paragraph" w:customStyle="1" w:styleId="Style19">
    <w:name w:val="Основной текст"/>
    <w:basedOn w:val="Normal"/>
    <w:link w:val="CharStyle20"/>
    <w:pPr>
      <w:widowControl w:val="0"/>
      <w:shd w:val="clear" w:color="auto" w:fill="FFFFFF"/>
      <w:spacing w:line="32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Заголовок №1 (2)"/>
    <w:basedOn w:val="Normal"/>
    <w:link w:val="CharStyle23"/>
    <w:pPr>
      <w:widowControl w:val="0"/>
      <w:shd w:val="clear" w:color="auto" w:fill="FFFFFF"/>
      <w:outlineLvl w:val="0"/>
      <w:spacing w:before="900" w:line="0" w:lineRule="exact"/>
    </w:pPr>
    <w:rPr>
      <w:b w:val="0"/>
      <w:bCs w:val="0"/>
      <w:i w:val="0"/>
      <w:iCs w:val="0"/>
      <w:u w:val="none"/>
      <w:strike w:val="0"/>
      <w:smallCaps w:val="0"/>
      <w:sz w:val="34"/>
      <w:szCs w:val="34"/>
      <w:rFonts w:ascii="Times New Roman" w:eastAsia="Times New Roman" w:hAnsi="Times New Roman" w:cs="Times New Roman"/>
      <w:spacing w:val="4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