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32" w:left="2912" w:right="8024" w:bottom="96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Ростовской области</w:t>
      </w:r>
    </w:p>
    <w:p>
      <w:pPr>
        <w:pStyle w:val="Style5"/>
        <w:tabs>
          <w:tab w:leader="none" w:pos="1077" w:val="left"/>
          <w:tab w:leader="none" w:pos="3794" w:val="right"/>
        </w:tabs>
        <w:widowControl w:val="0"/>
        <w:keepNext w:val="0"/>
        <w:keepLines w:val="0"/>
        <w:shd w:val="clear" w:color="auto" w:fill="auto"/>
        <w:bidi w:val="0"/>
        <w:spacing w:before="0" w:after="16" w:line="230" w:lineRule="exact"/>
        <w:ind w:left="400" w:right="0" w:firstLine="0"/>
      </w:pPr>
      <w:r>
        <w:rPr>
          <w:lang w:val="ru-RU" w:eastAsia="ru-RU" w:bidi="ru-RU"/>
          <w:w w:val="100"/>
          <w:color w:val="000000"/>
          <w:position w:val="0"/>
        </w:rPr>
        <w:t>'</w:t>
        <w:tab/>
        <w:t xml:space="preserve">! </w:t>
      </w:r>
      <w:r>
        <w:rPr>
          <w:rStyle w:val="CharStyle7"/>
        </w:rPr>
        <w:t>т "</w:t>
      </w:r>
      <w:r>
        <w:rPr>
          <w:lang w:val="ru-RU" w:eastAsia="ru-RU" w:bidi="ru-RU"/>
          <w:w w:val="100"/>
          <w:color w:val="000000"/>
          <w:position w:val="0"/>
        </w:rPr>
        <w:t xml:space="preserve"> :: | </w:t>
      </w:r>
      <w:r>
        <w:rPr>
          <w:rStyle w:val="CharStyle8"/>
        </w:rPr>
        <w:t>1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:</w:t>
      </w:r>
      <w:r>
        <w:rPr>
          <w:lang w:val="ru-RU" w:eastAsia="ru-RU" w:bidi="ru-RU"/>
          <w:w w:val="100"/>
          <w:color w:val="000000"/>
          <w:position w:val="0"/>
        </w:rPr>
        <w:tab/>
        <w:t>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 г. Ростов-на-Дону, 344006 тел. (863) 263-31-04, факс (863) 240-99-59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Котлярова Ольга Борисовна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type w:val="continuous"/>
          <w:pgSz w:w="11906" w:h="16838"/>
          <w:pgMar w:top="932" w:left="1160" w:right="2586" w:bottom="961" w:header="0" w:footer="3" w:gutter="0"/>
          <w:rtlGutter w:val="0"/>
          <w:cols w:num="2" w:space="720" w:equalWidth="0">
            <w:col w:w="4382" w:space="379"/>
            <w:col w:w="3398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(далее - Заявитель) ул. 10 Линия, д.61Б г. Ростов-на-Дону, 34^019 эл. почта: </w:t>
      </w:r>
      <w:r>
        <w:fldChar w:fldCharType="begin"/>
      </w:r>
      <w:r>
        <w:rPr>
          <w:color w:val="000000"/>
        </w:rPr>
        <w:instrText> HYPERLINK "mailto:olga-74@mail.ru"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olga-74@mail.ru</w:t>
      </w:r>
      <w:r>
        <w:fldChar w:fldCharType="end"/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566" w:line="190" w:lineRule="exact"/>
        <w:ind w:left="3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/03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УФАС России 15.01.2020 поступила жалоба Котляровой О.Б. на действия аукционной комиссии Заказчика - МКУ «Департамент строительства и городского хозяйства» г. Волгодонска, при проведении аукциона в электронной форме №0158300039819000204 «Выполнение работ по содержанию | автомобильных дорог общего пользования местного значения на территории муниципального образования "Город Волгодонск"» (далее - Аукцион).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подает? жалобу в письменной форме.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10 статьи 105 Закона жалоба </w:t>
      </w:r>
      <w:r>
        <w:rPr>
          <w:rStyle w:val="CharStyle15"/>
        </w:rPr>
        <w:t>подписывается полаютттим ее лицом или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5"/>
        </w:rPr>
        <w:t>его представителем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: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6 Федерального закона от 6 апреля 2011 года №63-Ф3 "Об электронной подписи",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 отсутствует. Следовательно, указанная жалоба не подписана.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в соответствии с п.п.БД—чгН:—ст.105 Закона Ростовским УФАС России принято решение о возврате названной жалобы.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обжаловапо-в-оудебнем-нврядк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0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type w:val="continuous"/>
          <w:pgSz w:w="11906" w:h="16838"/>
          <w:pgMar w:top="932" w:left="973" w:right="992" w:bottom="96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Рыбин Р.Н. </w:t>
      </w:r>
      <w:r>
        <w:rPr>
          <w:rStyle w:val="CharStyle18"/>
          <w:b/>
          <w:bCs/>
          <w:i/>
          <w:iCs/>
        </w:rPr>
        <w:t>(</w:t>
      </w:r>
      <w:r>
        <w:rPr>
          <w:rStyle w:val="CharStyle19"/>
          <w:b w:val="0"/>
          <w:bCs w:val="0"/>
          <w:i/>
          <w:iCs/>
        </w:rPr>
        <w:t>863</w:t>
      </w:r>
      <w:r>
        <w:rPr>
          <w:rStyle w:val="CharStyle18"/>
          <w:b/>
          <w:bCs/>
          <w:i/>
          <w:iCs/>
        </w:rPr>
        <w:t xml:space="preserve">) </w:t>
      </w:r>
      <w:r>
        <w:rPr>
          <w:rStyle w:val="CharStyle19"/>
          <w:b w:val="0"/>
          <w:bCs w:val="0"/>
          <w:i/>
          <w:iCs/>
        </w:rPr>
        <w:t>240</w:t>
      </w:r>
      <w:r>
        <w:rPr>
          <w:rStyle w:val="CharStyle18"/>
          <w:b/>
          <w:bCs/>
          <w:i/>
          <w:iCs/>
        </w:rPr>
        <w:t>-</w:t>
      </w:r>
      <w:r>
        <w:rPr>
          <w:rStyle w:val="CharStyle19"/>
          <w:b w:val="0"/>
          <w:bCs w:val="0"/>
          <w:i/>
          <w:iCs/>
        </w:rPr>
        <w:t>86-88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2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351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0" w:line="341" w:lineRule="exact"/>
        <w:ind w:left="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на действия заказчика по определению о соответствий единственной заявки участника закупки ООО «Созидатель».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360" w:right="300" w:firstLine="0"/>
      </w:pPr>
      <w:r>
        <w:rPr>
          <w:rStyle w:val="CharStyle22"/>
        </w:rPr>
        <w:t xml:space="preserve">Заказчик: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Муниципальное казенное учреждение «Департамент строительства и </w:t>
      </w:r>
      <w:r>
        <w:rPr>
          <w:rStyle w:val="CharStyle22"/>
        </w:rPr>
        <w:t>городского хозяйства»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0" w:right="0" w:firstLine="3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Номер извещения: 0158300039819000204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0" w:right="0" w:firstLine="3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Адрес места Нахождения: 347387, РО, г.Волгодонск, ул. Академика Королева, дом 5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0" w:right="0" w:firstLine="3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Должностное лицо: О.Н. Семенова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0" w:right="0" w:firstLine="3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"mailto:volgodonsk_dsjkh@mail.ru"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volgodonsk_dsjkh@mail.ru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0" w:right="0" w:firstLine="3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Тел, 8 (8639)252807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3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Объект: Выполнение работ по содержанию автомобильных дорог общего пользования местного значения на территории муниципального образования "Город Волгодонск" Стоимость работ: 25 175 185 (двадцать пять миллионов сто семьдесят пять тысяч сто восемьдесят пять рублей).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0" w:right="20" w:firstLine="360"/>
      </w:pPr>
      <w:r>
        <w:rPr>
          <w:rStyle w:val="CharStyle23"/>
        </w:rPr>
        <w:t xml:space="preserve">Заявитель: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Котлярова Ольга Борисовна Адрес: 344019, г. Ростов-на-Дону, ул. 10 линия , д.61 Б ' Тел. 8 909 440 50 60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149" w:line="341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"mailto:olga-74@mail.ru"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olga-74@mail.ru</w:t>
      </w:r>
      <w:r>
        <w:fldChar w:fldCharType="end"/>
      </w:r>
    </w:p>
    <w:p>
      <w:pPr>
        <w:pStyle w:val="Style20"/>
        <w:framePr w:w="336" w:h="293" w:hRule="exact" w:wrap="around" w:vAnchor="text" w:hAnchor="margin" w:x="79" w:y="39"/>
        <w:widowControl w:val="0"/>
        <w:keepNext w:val="0"/>
        <w:keepLines w:val="0"/>
        <w:shd w:val="clear" w:color="auto" w:fill="auto"/>
        <w:bidi w:val="0"/>
        <w:jc w:val="left"/>
        <w:textDirection w:val="btLr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•АЛД</w:t>
      </w:r>
    </w:p>
    <w:p>
      <w:pPr>
        <w:pStyle w:val="Style24"/>
        <w:tabs>
          <w:tab w:leader="none" w:pos="3701" w:val="right"/>
          <w:tab w:leader="none" w:pos="4037" w:val="center"/>
          <w:tab w:leader="none" w:pos="6965" w:val="center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’■ УАО.Лг/У.■; .</w:t>
      </w:r>
      <w:r>
        <w:rPr>
          <w:rStyle w:val="CharStyle26"/>
          <w:b w:val="0"/>
          <w:bCs w:val="0"/>
        </w:rPr>
        <w:t xml:space="preserve">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'</w:t>
        <w:tab/>
        <w:t>'</w:t>
        <w:tab/>
        <w:t>■</w:t>
        <w:tab/>
        <w:t>■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Доводы жалобы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3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Котлярова Ольга Борисовна считает неправомерным действия заказчика о признании о соответствии единственной заявки участника закупки ООО «Созидатель» о соответствии требованиям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0" w:right="20" w:firstLine="3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тем, что аукционная документация была составлена с явными нарушениями действующего законодательства в сфере осуществления государственных закупок, ; имеет признаки ограничения конкуренции, неправильного определения требований к участникам закупок, что соответственно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00" w:line="346" w:lineRule="exact"/>
        <w:ind w:left="3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Нарушает основополагающие принципы ФЗ </w:t>
      </w:r>
      <w:r>
        <w:rPr>
          <w:rStyle w:val="CharStyle27"/>
        </w:rPr>
        <w:t>«О</w:t>
      </w:r>
      <w:r>
        <w:rPr>
          <w:rStyle w:val="CharStyle28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контрактной системе в сфере закупок товаров, работ, услуг для обеспечения государственных и муниципальных нужд» от 05.04.2013г. № 44- ФЗ , далее по тексту -Закон о контрактной системы), а именно: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3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ч.З ст.64 Закона о контрактной системе документация об электронном аукционе наряду с предусмотренной ч.] ст.64 Закона о контрактной системе информацией содержит требования к участникам аукциона, установленные в соответствие с п.1 4.1.1 2 и 2.1 (при наличии таких требований) ст.31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0" w:line="346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ч.2 ст.31 Закона о контрактной системе Правительство РФ вправе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которых осуществляются путем проведения конкурсов с ограниченным участием, двухэтапных конкурсов с ограниченным участием, закрытых двухэтапных конкурсов или аукционов, дополнительные требования.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ч.4 ст.31 Закона о контрактной системе в случае установления Правительством РФ в соответствии с ч.2 ст.31 Закона о контрактной системе дополнительных требований к участникам закупок, заказчики при определении поставщиков, обязаны устанавливать такие дополнительные требования. Дополнительные требования к участникам закупок отдельных видов товаров, работ, услуг установлены Правительством РФ от 04.02.2015г. № 99- требованиям"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квалификаций, а также документов, подтверждающих соответствие участников закупки указанным дополнительным требовайиям»-далее по тексту -Постановление Правительства РФ № 99.</w:t>
      </w:r>
    </w:p>
    <w:p>
      <w:pPr>
        <w:pStyle w:val="Style11"/>
        <w:tabs>
          <w:tab w:leader="none" w:pos="932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подп.24.5 ст.66 Закона о контрактной системе, заявки на участие в электронном аукционе должны содержать документы, подтверждающие соответствие участника такого аукциона требованиям, установленные пЛчЛ ст.31 настоящего ФЗ, или копии этих документов, а также декларация о соответствии участника такого аукциона требованиям, установленные пунктами 3-9 части. 1 ст. 31 настоящего ФЗ (Данная декларация Предоставляется с использованием программно-аппаратных средств электронной площадки).</w:t>
        <w:tab/>
        <w:t>'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Итак, указанная статья Закона о контрактной системе устанавливает исчерпывающий перечень документов, подлежащих предоставлению участниками закупок в составе своих заявок на участие в аукционе в качестве Подтверждения соответствия требованиям законодательства России о контрактной системе.</w:t>
      </w:r>
    </w:p>
    <w:p>
      <w:pPr>
        <w:pStyle w:val="Style11"/>
        <w:tabs>
          <w:tab w:leader="none" w:pos="74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таких обстоятельствах и на основании ч.б ст. 66 Закона б контрактной системе, требовать от участника электронного аукциона предоставления иных документов и информации, кроме указанных в ч.З и ч.5 ст.66 Закона о контрактной системе информации и документов, не допускается.</w:t>
        <w:tab/>
        <w:t>\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аукционной документации в стр.5 содержатся следующие сведения:</w:t>
      </w:r>
    </w:p>
    <w:p>
      <w:pPr>
        <w:pStyle w:val="Style11"/>
        <w:tabs>
          <w:tab w:leader="none" w:pos="961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4.Вторая часть заявки на участие в электронной аукционе должна содержать следующие документы и информацию:</w:t>
        <w:tab/>
      </w:r>
      <w:r>
        <w:rPr>
          <w:lang w:val="en-US" w:eastAsia="en-US" w:bidi="en-US"/>
          <w:vertAlign w:val="subscript"/>
          <w:sz w:val="24"/>
          <w:szCs w:val="24"/>
          <w:w w:val="100"/>
          <w:spacing w:val="0"/>
          <w:color w:val="000000"/>
          <w:position w:val="0"/>
        </w:rPr>
        <w:t>t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2.2)Копии документов, подтверждающие соответствие участника аукциона дополнительным требования, установленные в соответствии с п.2 ч.1. сТ.31 Ф/3 №44- ФЗ, указанные в п.23 Информационной карты документации об электронном аукционе№.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Действия Заказчика, установившего в документации об Аукционе излишнее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1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документов, подтверждающих соответствие участника закупки дополнительным Требованиям, нарушают ч.б.ст.бб Закона о контрактной системе. Указанный довод подтверждается решением ФАС России по делу № 19/44/105/3007 от 12.11.2019г. Таким образом, аукцион был признан нееостоявшимся с участием единственного поставщика ООО «Созидатель», чем была незаконно ограничена конкуренция иных участников.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0" w:line="346" w:lineRule="exact"/>
        <w:ind w:left="0" w:right="1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ПРОШУ:</w:t>
      </w:r>
    </w:p>
    <w:p>
      <w:pPr>
        <w:pStyle w:val="Style11"/>
        <w:numPr>
          <w:ilvl w:val="0"/>
          <w:numId w:val="1"/>
        </w:numPr>
        <w:tabs>
          <w:tab w:leader="none" w:pos="116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1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Прошу провести проверку о признании единственного участника ООО «Созидатель» законным и соответствующем требованиям заявки и законодательства.</w:t>
      </w:r>
    </w:p>
    <w:p>
      <w:pPr>
        <w:pStyle w:val="Style11"/>
        <w:tabs>
          <w:tab w:leader="none" w:pos="625" w:val="right"/>
          <w:tab w:leader="none" w:pos="8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:</w:t>
        <w:tab/>
        <w:t>1.</w:t>
        <w:tab/>
        <w:t>Документация - Выполнение работ по содержанию автомобильных дорог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общего пользования местного значения НГ (2);</w:t>
      </w:r>
    </w:p>
    <w:p>
      <w:pPr>
        <w:pStyle w:val="Style11"/>
        <w:numPr>
          <w:ilvl w:val="0"/>
          <w:numId w:val="1"/>
        </w:numPr>
        <w:tabs>
          <w:tab w:leader="none" w:pos="6143" w:val="right"/>
          <w:tab w:leader="none" w:pos="8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Протокол рассмотрения (2).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4</w:t>
      </w:r>
      <w:r>
        <w:br w:type="page"/>
      </w:r>
    </w:p>
    <w:sectPr>
      <w:pgSz w:w="11906" w:h="16838"/>
      <w:pgMar w:top="1624" w:left="1050" w:right="704" w:bottom="149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20"/>
    </w:rPr>
  </w:style>
  <w:style w:type="character" w:customStyle="1" w:styleId="CharStyle7">
    <w:name w:val="Основной текст (3) + Candara,11,5 pt,Курсив,Интервал 0 pt"/>
    <w:basedOn w:val="CharStyle6"/>
    <w:rPr>
      <w:lang w:val="ru-RU" w:eastAsia="ru-RU" w:bidi="ru-RU"/>
      <w:i/>
      <w:iCs/>
      <w:sz w:val="23"/>
      <w:szCs w:val="23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8">
    <w:name w:val="Основной текст (3) + Gulim,9,5 pt,Интервал 0 pt"/>
    <w:basedOn w:val="CharStyle6"/>
    <w:rPr>
      <w:lang w:val="ru-RU" w:eastAsia="ru-RU" w:bidi="ru-RU"/>
      <w:sz w:val="19"/>
      <w:szCs w:val="19"/>
      <w:rFonts w:ascii="Gulim" w:eastAsia="Gulim" w:hAnsi="Gulim" w:cs="Gulim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2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(6)_"/>
    <w:basedOn w:val="DefaultParagraphFont"/>
    <w:link w:val="Style16"/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8">
    <w:name w:val="Основной текст (6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6) + Не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8) Exact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4"/>
    </w:rPr>
  </w:style>
  <w:style w:type="character" w:customStyle="1" w:styleId="CharStyle22">
    <w:name w:val="Основной текст + Полужирный"/>
    <w:basedOn w:val="CharStyle12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+ Полужирный"/>
    <w:basedOn w:val="CharStyle12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 (7)_"/>
    <w:basedOn w:val="DefaultParagraphFont"/>
    <w:link w:val="Style24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6">
    <w:name w:val="Основной текст (7) + Palatino Linotype,11,5 pt,Не полужирный"/>
    <w:basedOn w:val="CharStyle25"/>
    <w:rPr>
      <w:lang w:val="ru-RU" w:eastAsia="ru-RU" w:bidi="ru-RU"/>
      <w:b/>
      <w:bCs/>
      <w:sz w:val="23"/>
      <w:szCs w:val="23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27">
    <w:name w:val="Основной текст + Курсив"/>
    <w:basedOn w:val="CharStyle12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"/>
    <w:basedOn w:val="CharStyle1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32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2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line="23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line="24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after="66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before="180" w:line="182" w:lineRule="exact"/>
    </w:pPr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0">
    <w:name w:val="Основной текст (8)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4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jc w:val="both"/>
      <w:spacing w:before="6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