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46" w:after="3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02"/>
        <w:ind w:left="0" w:right="0" w:firstLine="0"/>
      </w:pPr>
      <w:r>
        <w:rPr>
          <w:rStyle w:val="CharStyle8"/>
        </w:rPr>
        <w:t>УПРАВЛЕНИЕ Федеральной антимонопольной службы по Томской области</w:t>
      </w:r>
    </w:p>
    <w:p>
      <w:pPr>
        <w:pStyle w:val="Style9"/>
        <w:widowControl w:val="0"/>
        <w:keepNext w:val="0"/>
        <w:keepLines w:val="0"/>
        <w:shd w:val="clear" w:color="auto" w:fill="auto"/>
        <w:bidi w:val="0"/>
        <w:jc w:val="left"/>
        <w:spacing w:before="0" w:after="0"/>
        <w:ind w:left="1040" w:right="1140" w:firstLine="0"/>
      </w:pPr>
      <w:r>
        <w:rPr>
          <w:rStyle w:val="CharStyle11"/>
        </w:rPr>
        <w:t xml:space="preserve">пр. Ленина, 111, г. Томск. 634069 тел./факс (3822) 51-29-80 </w:t>
      </w:r>
      <w:r>
        <w:rPr>
          <w:rStyle w:val="CharStyle11"/>
          <w:lang w:val="en-US" w:eastAsia="en-US" w:bidi="en-US"/>
        </w:rPr>
        <w:t>e-mail:</w:t>
      </w:r>
      <w:r>
        <w:rPr>
          <w:rStyle w:val="CharStyle12"/>
        </w:rPr>
        <w:t>to70@.fas.gov.ru</w:t>
      </w:r>
    </w:p>
    <w:p>
      <w:pPr>
        <w:pStyle w:val="Style3"/>
        <w:widowControl w:val="0"/>
        <w:keepNext w:val="0"/>
        <w:keepLines w:val="0"/>
        <w:shd w:val="clear" w:color="auto" w:fill="auto"/>
        <w:bidi w:val="0"/>
        <w:jc w:val="right"/>
        <w:spacing w:before="0" w:after="0" w:line="298" w:lineRule="exact"/>
        <w:ind w:left="0" w:right="20" w:firstLine="0"/>
      </w:pPr>
      <w:r>
        <w:rPr>
          <w:lang w:val="ru-RU" w:eastAsia="ru-RU" w:bidi="ru-RU"/>
          <w:w w:val="100"/>
          <w:spacing w:val="0"/>
          <w:color w:val="000000"/>
          <w:position w:val="0"/>
        </w:rPr>
        <w:t>Заявитель:</w:t>
      </w:r>
    </w:p>
    <w:p>
      <w:pPr>
        <w:pStyle w:val="Style6"/>
        <w:widowControl w:val="0"/>
        <w:keepNext w:val="0"/>
        <w:keepLines w:val="0"/>
        <w:shd w:val="clear" w:color="auto" w:fill="auto"/>
        <w:bidi w:val="0"/>
        <w:jc w:val="both"/>
        <w:spacing w:before="0" w:after="271" w:line="298" w:lineRule="exact"/>
        <w:ind w:left="20" w:right="20" w:firstLine="0"/>
      </w:pPr>
      <w:r>
        <w:rPr>
          <w:lang w:val="ru-RU" w:eastAsia="ru-RU" w:bidi="ru-RU"/>
          <w:w w:val="100"/>
          <w:spacing w:val="0"/>
          <w:color w:val="000000"/>
          <w:position w:val="0"/>
        </w:rPr>
        <w:t>Индивидуальный предприниматель Лоран Александр Матвеевич</w:t>
      </w:r>
    </w:p>
    <w:p>
      <w:pPr>
        <w:pStyle w:val="Style3"/>
        <w:widowControl w:val="0"/>
        <w:keepNext w:val="0"/>
        <w:keepLines w:val="0"/>
        <w:shd w:val="clear" w:color="auto" w:fill="auto"/>
        <w:bidi w:val="0"/>
        <w:jc w:val="right"/>
        <w:spacing w:before="0" w:after="0" w:line="259" w:lineRule="exact"/>
        <w:ind w:left="0" w:right="2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459" w:line="259" w:lineRule="exact"/>
        <w:ind w:left="20" w:right="20" w:firstLine="0"/>
      </w:pPr>
      <w:r>
        <w:rPr>
          <w:lang w:val="ru-RU" w:eastAsia="ru-RU" w:bidi="ru-RU"/>
          <w:w w:val="100"/>
          <w:spacing w:val="0"/>
          <w:color w:val="000000"/>
          <w:position w:val="0"/>
        </w:rPr>
        <w:t>пр. Молодежная 52Б, кв. 66, п. Металлплощадка, Кемеровская область, 650517</w:t>
      </w:r>
    </w:p>
    <w:p>
      <w:pPr>
        <w:pStyle w:val="Style3"/>
        <w:widowControl w:val="0"/>
        <w:keepNext w:val="0"/>
        <w:keepLines w:val="0"/>
        <w:shd w:val="clear" w:color="auto" w:fill="auto"/>
        <w:bidi w:val="0"/>
        <w:jc w:val="right"/>
        <w:spacing w:before="0" w:after="0" w:line="210" w:lineRule="exact"/>
        <w:ind w:left="0" w:right="20" w:firstLine="0"/>
      </w:pPr>
      <w:r>
        <w:rPr>
          <w:lang w:val="ru-RU" w:eastAsia="ru-RU" w:bidi="ru-RU"/>
          <w:w w:val="100"/>
          <w:spacing w:val="0"/>
          <w:color w:val="000000"/>
          <w:position w:val="0"/>
        </w:rPr>
        <w:t>Заказчик:</w:t>
      </w:r>
    </w:p>
    <w:p>
      <w:pPr>
        <w:pStyle w:val="Style6"/>
        <w:widowControl w:val="0"/>
        <w:keepNext w:val="0"/>
        <w:keepLines w:val="0"/>
        <w:shd w:val="clear" w:color="auto" w:fill="auto"/>
        <w:bidi w:val="0"/>
        <w:jc w:val="right"/>
        <w:spacing w:before="0" w:after="325" w:line="260" w:lineRule="exact"/>
        <w:ind w:left="0" w:right="20" w:firstLine="0"/>
      </w:pPr>
      <w:r>
        <w:rPr>
          <w:lang w:val="ru-RU" w:eastAsia="ru-RU" w:bidi="ru-RU"/>
          <w:w w:val="100"/>
          <w:spacing w:val="0"/>
          <w:color w:val="000000"/>
          <w:position w:val="0"/>
        </w:rPr>
        <w:t>Прокуратура Томской области</w:t>
      </w:r>
    </w:p>
    <w:p>
      <w:pPr>
        <w:pStyle w:val="Style3"/>
        <w:widowControl w:val="0"/>
        <w:keepNext w:val="0"/>
        <w:keepLines w:val="0"/>
        <w:shd w:val="clear" w:color="auto" w:fill="auto"/>
        <w:bidi w:val="0"/>
        <w:jc w:val="right"/>
        <w:spacing w:before="0" w:after="4" w:line="210" w:lineRule="exact"/>
        <w:ind w:left="0" w:right="2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10" w:lineRule="exact"/>
        <w:ind w:left="0" w:right="20" w:firstLine="0"/>
        <w:sectPr>
          <w:footnotePr>
            <w:pos w:val="pageBottom"/>
            <w:numFmt w:val="decimal"/>
            <w:numRestart w:val="continuous"/>
          </w:footnotePr>
          <w:type w:val="continuous"/>
          <w:pgSz w:w="11906" w:h="16838"/>
          <w:pgMar w:top="850" w:left="599" w:right="834" w:bottom="437" w:header="0" w:footer="3" w:gutter="0"/>
          <w:rtlGutter w:val="0"/>
          <w:cols w:num="2" w:space="720" w:equalWidth="0">
            <w:col w:w="4790" w:space="298"/>
            <w:col w:w="5386"/>
          </w:cols>
          <w:noEndnote/>
          <w:docGrid w:linePitch="360"/>
        </w:sectPr>
      </w:pPr>
      <w:r>
        <w:rPr>
          <w:lang w:val="ru-RU" w:eastAsia="ru-RU" w:bidi="ru-RU"/>
          <w:w w:val="100"/>
          <w:spacing w:val="0"/>
          <w:color w:val="000000"/>
          <w:position w:val="0"/>
        </w:rPr>
        <w:t>ул. Белинского 14, г. Томск, 634029</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190" w:wrap="around" w:vAnchor="text" w:hAnchor="margin" w:x="1895" w:y="3"/>
        <w:widowControl w:val="0"/>
        <w:keepNext w:val="0"/>
        <w:keepLines w:val="0"/>
        <w:shd w:val="clear" w:color="auto" w:fill="auto"/>
        <w:bidi w:val="0"/>
        <w:jc w:val="left"/>
        <w:spacing w:before="0" w:after="0" w:line="190" w:lineRule="exact"/>
        <w:ind w:left="100" w:right="0" w:firstLine="0"/>
      </w:pPr>
      <w:r>
        <w:rPr>
          <w:rStyle w:val="CharStyle15"/>
          <w:spacing w:val="-10"/>
        </w:rPr>
        <w:t>от</w:t>
      </w:r>
    </w:p>
    <w:p>
      <w:pPr>
        <w:pStyle w:val="Style13"/>
        <w:widowControl w:val="0"/>
        <w:keepNext w:val="0"/>
        <w:keepLines w:val="0"/>
        <w:shd w:val="clear" w:color="auto" w:fill="auto"/>
        <w:bidi w:val="0"/>
        <w:jc w:val="left"/>
        <w:spacing w:before="0" w:after="0" w:line="200" w:lineRule="exact"/>
        <w:ind w:left="0" w:right="0" w:firstLine="0"/>
        <w:sectPr>
          <w:type w:val="continuous"/>
          <w:pgSz w:w="11906" w:h="16838"/>
          <w:pgMar w:top="850" w:left="930" w:right="10237" w:bottom="437" w:header="0" w:footer="3" w:gutter="0"/>
          <w:rtlGutter w:val="0"/>
          <w:cols w:space="720"/>
          <w:noEndnote/>
          <w:docGrid w:linePitch="360"/>
        </w:sectPr>
      </w:pPr>
      <w:r>
        <w:rPr>
          <w:rStyle w:val="CharStyle17"/>
        </w:rPr>
        <w:t>На И»</w:t>
      </w:r>
    </w:p>
    <w:p>
      <w:pPr>
        <w:widowControl w:val="0"/>
        <w:spacing w:line="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312" w:lineRule="exact"/>
        <w:ind w:left="0" w:right="0" w:firstLine="0"/>
        <w:sectPr>
          <w:type w:val="continuous"/>
          <w:pgSz w:w="11906" w:h="16838"/>
          <w:pgMar w:top="850" w:left="3282" w:right="3210" w:bottom="437" w:header="0" w:footer="3" w:gutter="0"/>
          <w:rtlGutter w:val="0"/>
          <w:cols w:space="720"/>
          <w:noEndnote/>
          <w:docGrid w:linePitch="360"/>
        </w:sectPr>
      </w:pPr>
      <w:r>
        <w:rPr>
          <w:lang w:val="ru-RU" w:eastAsia="ru-RU" w:bidi="ru-RU"/>
          <w:w w:val="100"/>
          <w:spacing w:val="0"/>
          <w:color w:val="000000"/>
          <w:position w:val="0"/>
        </w:rPr>
        <w:t>РЕШЕНИЕ по делу №070/06/106-001/2020 о нарушении законодательства Российской Федерации о контрактной системе в сфере закупок</w:t>
      </w: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39" w:wrap="around" w:hAnchor="margin" w:x="9057" w:y="5949"/>
        <w:widowControl w:val="0"/>
        <w:keepNext w:val="0"/>
        <w:keepLines w:val="0"/>
        <w:shd w:val="clear" w:color="auto" w:fill="auto"/>
        <w:bidi w:val="0"/>
        <w:jc w:val="left"/>
        <w:spacing w:before="0" w:after="0" w:line="240" w:lineRule="exact"/>
        <w:ind w:left="100" w:right="0" w:firstLine="0"/>
      </w:pPr>
      <w:r>
        <w:rPr>
          <w:rStyle w:val="CharStyle18"/>
          <w:spacing w:val="0"/>
        </w:rPr>
        <w:t>г. Томск</w:t>
      </w:r>
    </w:p>
    <w:p>
      <w:pPr>
        <w:pStyle w:val="Style6"/>
        <w:widowControl w:val="0"/>
        <w:keepNext w:val="0"/>
        <w:keepLines w:val="0"/>
        <w:shd w:val="clear" w:color="auto" w:fill="auto"/>
        <w:bidi w:val="0"/>
        <w:jc w:val="left"/>
        <w:spacing w:before="0" w:after="307" w:line="260" w:lineRule="exact"/>
        <w:ind w:left="20" w:right="0" w:firstLine="0"/>
      </w:pPr>
      <w:r>
        <w:rPr>
          <w:lang w:val="ru-RU" w:eastAsia="ru-RU" w:bidi="ru-RU"/>
          <w:w w:val="100"/>
          <w:spacing w:val="0"/>
          <w:color w:val="000000"/>
          <w:position w:val="0"/>
        </w:rPr>
        <w:t>13.01.2020</w:t>
      </w:r>
    </w:p>
    <w:p>
      <w:pPr>
        <w:pStyle w:val="Style6"/>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Комиссия Томского УФАС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УФАС России) в составе:</w:t>
      </w:r>
    </w:p>
    <w:p>
      <w:pPr>
        <w:pStyle w:val="Style6"/>
        <w:widowControl w:val="0"/>
        <w:keepNext w:val="0"/>
        <w:keepLines w:val="0"/>
        <w:shd w:val="clear" w:color="auto" w:fill="auto"/>
        <w:bidi w:val="0"/>
        <w:jc w:val="left"/>
        <w:spacing w:before="0" w:after="0" w:line="317" w:lineRule="exact"/>
        <w:ind w:left="20" w:right="0" w:firstLine="0"/>
        <w:sectPr>
          <w:type w:val="continuous"/>
          <w:pgSz w:w="11906" w:h="16838"/>
          <w:pgMar w:top="850" w:left="800" w:right="862" w:bottom="437" w:header="0" w:footer="3" w:gutter="0"/>
          <w:rtlGutter w:val="0"/>
          <w:cols w:space="720"/>
          <w:noEndnote/>
          <w:docGrid w:linePitch="360"/>
        </w:sectPr>
      </w:pPr>
      <w:r>
        <w:rPr>
          <w:lang w:val="ru-RU" w:eastAsia="ru-RU" w:bidi="ru-RU"/>
          <w:w w:val="100"/>
          <w:spacing w:val="0"/>
          <w:color w:val="000000"/>
          <w:position w:val="0"/>
        </w:rPr>
        <w:t>Председателя комиссии:</w:t>
      </w:r>
    </w:p>
    <w:p>
      <w:pPr>
        <w:widowControl w:val="0"/>
        <w:spacing w:line="27"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41" w:wrap="around" w:hAnchor="margin" w:x="-4497" w:y="8818"/>
        <w:widowControl w:val="0"/>
        <w:keepNext w:val="0"/>
        <w:keepLines w:val="0"/>
        <w:shd w:val="clear" w:color="auto" w:fill="auto"/>
        <w:bidi w:val="0"/>
        <w:jc w:val="left"/>
        <w:spacing w:before="0" w:after="0" w:line="240" w:lineRule="exact"/>
        <w:ind w:left="0" w:right="0" w:firstLine="0"/>
      </w:pPr>
      <w:r>
        <w:rPr>
          <w:rStyle w:val="CharStyle18"/>
          <w:spacing w:val="0"/>
        </w:rPr>
        <w:t>Алиева Р.А.,</w:t>
      </w:r>
    </w:p>
    <w:p>
      <w:pPr>
        <w:pStyle w:val="Style6"/>
        <w:framePr w:w="1504" w:h="566" w:wrap="around" w:vAnchor="text" w:hAnchor="margin" w:x="-1823" w:y="-47"/>
        <w:widowControl w:val="0"/>
        <w:keepNext w:val="0"/>
        <w:keepLines w:val="0"/>
        <w:shd w:val="clear" w:color="auto" w:fill="auto"/>
        <w:bidi w:val="0"/>
        <w:jc w:val="left"/>
        <w:spacing w:before="0" w:after="10" w:line="240" w:lineRule="exact"/>
        <w:ind w:left="0" w:right="0" w:firstLine="0"/>
      </w:pPr>
      <w:r>
        <w:rPr>
          <w:rStyle w:val="CharStyle18"/>
          <w:spacing w:val="0"/>
        </w:rPr>
        <w:t>заместителя</w:t>
      </w:r>
    </w:p>
    <w:p>
      <w:pPr>
        <w:pStyle w:val="Style6"/>
        <w:framePr w:w="1504" w:h="566" w:wrap="around" w:vAnchor="text" w:hAnchor="margin" w:x="-1823" w:y="-47"/>
        <w:widowControl w:val="0"/>
        <w:keepNext w:val="0"/>
        <w:keepLines w:val="0"/>
        <w:shd w:val="clear" w:color="auto" w:fill="auto"/>
        <w:bidi w:val="0"/>
        <w:jc w:val="left"/>
        <w:spacing w:before="0" w:after="0" w:line="240" w:lineRule="exact"/>
        <w:ind w:left="0" w:right="0" w:firstLine="0"/>
      </w:pPr>
      <w:r>
        <w:rPr>
          <w:rStyle w:val="CharStyle18"/>
          <w:spacing w:val="0"/>
        </w:rPr>
        <w:t>закупок;</w:t>
      </w:r>
    </w:p>
    <w:p>
      <w:pPr>
        <w:pStyle w:val="Style6"/>
        <w:widowControl w:val="0"/>
        <w:keepNext w:val="0"/>
        <w:keepLines w:val="0"/>
        <w:shd w:val="clear" w:color="auto" w:fill="auto"/>
        <w:bidi w:val="0"/>
        <w:jc w:val="left"/>
        <w:spacing w:before="0" w:after="0" w:line="260" w:lineRule="exact"/>
        <w:ind w:left="0" w:right="0" w:firstLine="0"/>
        <w:sectPr>
          <w:type w:val="continuous"/>
          <w:pgSz w:w="11906" w:h="16838"/>
          <w:pgMar w:top="850" w:left="5327" w:right="565" w:bottom="437" w:header="0" w:footer="3" w:gutter="0"/>
          <w:rtlGutter w:val="0"/>
          <w:cols w:space="720"/>
          <w:noEndnote/>
          <w:docGrid w:linePitch="360"/>
        </w:sectPr>
      </w:pPr>
      <w:r>
        <w:rPr>
          <w:lang w:val="ru-RU" w:eastAsia="ru-RU" w:bidi="ru-RU"/>
          <w:w w:val="100"/>
          <w:spacing w:val="0"/>
          <w:color w:val="000000"/>
          <w:position w:val="0"/>
        </w:rPr>
        <w:t>руководителя - начальника отдела контроля</w:t>
      </w: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2190" w:h="1570" w:wrap="around" w:hAnchor="margin" w:x="73" w:y="9399"/>
        <w:widowControl w:val="0"/>
        <w:keepNext w:val="0"/>
        <w:keepLines w:val="0"/>
        <w:shd w:val="clear" w:color="auto" w:fill="auto"/>
        <w:bidi w:val="0"/>
        <w:jc w:val="left"/>
        <w:spacing w:before="0" w:after="0" w:line="312" w:lineRule="exact"/>
        <w:ind w:left="0" w:right="100" w:firstLine="0"/>
      </w:pPr>
      <w:r>
        <w:rPr>
          <w:rStyle w:val="CharStyle18"/>
          <w:spacing w:val="0"/>
        </w:rPr>
        <w:t>Членов комиссии: Лосева В.Г., Кончиц Н.С., Макиевой К.А., Никитиной Д.А.,</w:t>
      </w:r>
    </w:p>
    <w:p>
      <w:pPr>
        <w:pStyle w:val="Style6"/>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заместителя начальника отдела контроля закупок; главного специалиста-эксперта отдела контроля закупок; специалиста-эксперта отдела контроля закупок, специалиста-эксперта отдела контроля закупок, при участии представителей Прокуратуры Томской области (далее - Заказчик), Михайлова А.И., Кукиной А.С.,</w:t>
      </w:r>
    </w:p>
    <w:p>
      <w:pPr>
        <w:pStyle w:val="Style6"/>
        <w:widowControl w:val="0"/>
        <w:keepNext w:val="0"/>
        <w:keepLines w:val="0"/>
        <w:shd w:val="clear" w:color="auto" w:fill="auto"/>
        <w:bidi w:val="0"/>
        <w:jc w:val="both"/>
        <w:spacing w:before="0" w:after="0" w:line="312" w:lineRule="exact"/>
        <w:ind w:left="20" w:right="0" w:firstLine="720"/>
      </w:pPr>
      <w:r>
        <w:rPr>
          <w:lang w:val="ru-RU" w:eastAsia="ru-RU" w:bidi="ru-RU"/>
          <w:w w:val="100"/>
          <w:spacing w:val="0"/>
          <w:color w:val="000000"/>
          <w:position w:val="0"/>
        </w:rPr>
        <w:t>без участия Индивидуального предпринимателя Лорана А.М. (далее - Заявитель, ИП Лоран А.М.), уведомленного о дате и месте рассмотрения настоящего дела,</w:t>
      </w:r>
    </w:p>
    <w:p>
      <w:pPr>
        <w:pStyle w:val="Style6"/>
        <w:widowControl w:val="0"/>
        <w:keepNext w:val="0"/>
        <w:keepLines w:val="0"/>
        <w:shd w:val="clear" w:color="auto" w:fill="auto"/>
        <w:bidi w:val="0"/>
        <w:jc w:val="both"/>
        <w:spacing w:before="0" w:after="0" w:line="312" w:lineRule="exact"/>
        <w:ind w:left="20" w:right="0" w:firstLine="720"/>
        <w:sectPr>
          <w:type w:val="continuous"/>
          <w:pgSz w:w="11906" w:h="16838"/>
          <w:pgMar w:top="850" w:left="747" w:right="853" w:bottom="437" w:header="0" w:footer="3" w:gutter="0"/>
          <w:rtlGutter w:val="0"/>
          <w:cols w:space="720"/>
          <w:noEndnote/>
          <w:docGrid w:linePitch="360"/>
        </w:sectPr>
      </w:pPr>
      <w:r>
        <w:rPr>
          <w:lang w:val="ru-RU" w:eastAsia="ru-RU" w:bidi="ru-RU"/>
          <w:w w:val="100"/>
          <w:spacing w:val="0"/>
          <w:color w:val="000000"/>
          <w:position w:val="0"/>
        </w:rPr>
        <w:t>рассмотрев в соответствии со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Закона о контрактной системе) жалобу ИП Лорана А.М. на действия Заказчика при проведении электронного аукциона «Услуги по общей уборке зданий» (извещение № 0165100003019000108) (далее - Аукцион), и проведя внеплановую проверку в соответствии с п.1 ч.15 ст.99 Федерального закона от 05.04.2013 №44-ФЗ «О контрактной системе в сфере закупок товаров, работ, услуг длж /-обеспечения</w:t>
      </w:r>
    </w:p>
    <w:p>
      <w:pPr>
        <w:pStyle w:val="Style6"/>
        <w:widowControl w:val="0"/>
        <w:keepNext w:val="0"/>
        <w:keepLines w:val="0"/>
        <w:shd w:val="clear" w:color="auto" w:fill="auto"/>
        <w:bidi w:val="0"/>
        <w:jc w:val="both"/>
        <w:spacing w:before="0" w:after="0" w:line="317" w:lineRule="exact"/>
        <w:ind w:left="20" w:right="40" w:firstLine="0"/>
      </w:pPr>
      <w:r>
        <w:rPr>
          <w:lang w:val="ru-RU" w:eastAsia="ru-RU" w:bidi="ru-RU"/>
          <w:w w:val="100"/>
          <w:spacing w:val="0"/>
          <w:color w:val="000000"/>
          <w:position w:val="0"/>
        </w:rPr>
        <w:t>государственных и муниципальных нужд» (далее - Закон о контрактной системе, Закон 44-ФЗ),</w:t>
      </w:r>
    </w:p>
    <w:p>
      <w:pPr>
        <w:pStyle w:val="Style19"/>
        <w:widowControl w:val="0"/>
        <w:keepNext/>
        <w:keepLines/>
        <w:shd w:val="clear" w:color="auto" w:fill="auto"/>
        <w:bidi w:val="0"/>
        <w:jc w:val="left"/>
        <w:spacing w:before="0" w:after="0"/>
        <w:ind w:left="4540" w:right="0" w:firstLine="0"/>
      </w:pPr>
      <w:bookmarkStart w:id="0" w:name="bookmark0"/>
      <w:r>
        <w:rPr>
          <w:lang w:val="ru-RU" w:eastAsia="ru-RU" w:bidi="ru-RU"/>
          <w:w w:val="100"/>
          <w:spacing w:val="0"/>
          <w:color w:val="000000"/>
          <w:position w:val="0"/>
        </w:rPr>
        <w:t>УСТАНОВИЛА:</w:t>
      </w:r>
      <w:bookmarkEnd w:id="0"/>
    </w:p>
    <w:p>
      <w:pPr>
        <w:pStyle w:val="Style6"/>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В Томское УФАС России поступила жалоба ИП Лорана А.М. на действия Заказчика, нарушающие положения Закона 44-ФЗ.</w:t>
      </w:r>
    </w:p>
    <w:p>
      <w:pPr>
        <w:pStyle w:val="Style6"/>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Из жалобы Заявителя следует, что его права и законные интересы нарушены неправомерными действиями Заказчика, а именно:</w:t>
      </w:r>
    </w:p>
    <w:p>
      <w:pPr>
        <w:pStyle w:val="Style6"/>
        <w:numPr>
          <w:ilvl w:val="0"/>
          <w:numId w:val="1"/>
        </w:numPr>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 xml:space="preserve"> Установлением в документации об Аукционе обязанности участника закупки указывать в заявке информацию непредусмотренную ч.З ст.66 Закона 44ФЗ.</w:t>
      </w:r>
    </w:p>
    <w:p>
      <w:pPr>
        <w:pStyle w:val="Style6"/>
        <w:numPr>
          <w:ilvl w:val="0"/>
          <w:numId w:val="1"/>
        </w:numPr>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 xml:space="preserve"> Установлением в проекте контракта ответственности сторон за не исполнение контракта не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Постановление №1042).</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Заказчик с доводами жалобы не согласился и указал, что действовал в соответствии с действующим законодательством о контрактной системе в сфере закупок.</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В результате рассмотрения жалобы и осуществления в соответствии с п.1 ч.15 ст.99 Закона о контрактной системе внеплановой проверки Комиссия Томского УФАС России установила следующее.</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 xml:space="preserve">Извещение и документация №0165100003019000108 о проведении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- 31.12.2019.</w:t>
      </w:r>
    </w:p>
    <w:p>
      <w:pPr>
        <w:pStyle w:val="Style6"/>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Начальная (максимальная) цена контракта составляет 3 100 000, 00 рублей.</w:t>
      </w:r>
    </w:p>
    <w:p>
      <w:pPr>
        <w:pStyle w:val="Style6"/>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На участие в Аукционе подано 2 заявки.</w:t>
      </w:r>
    </w:p>
    <w:p>
      <w:pPr>
        <w:pStyle w:val="Style6"/>
        <w:numPr>
          <w:ilvl w:val="0"/>
          <w:numId w:val="3"/>
        </w:numPr>
        <w:tabs>
          <w:tab w:leader="none" w:pos="927" w:val="left"/>
        </w:tabs>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В соответствии с ч.2 ст.66 Закона 44-ФЗ заявка на участие в электронном аукционе состоит из двух частей.</w:t>
      </w:r>
    </w:p>
    <w:p>
      <w:pPr>
        <w:pStyle w:val="Style6"/>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Содержание состава заявки определено ч.ч.3,3.1 и 5 ст.66 Закона 44-ФЗ.</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В силу ч.б ст.66 Закона 44-ФЗ требовать от участника электронного аукциона предоставления иных документов и информации, за исключением предусмотренных ч.ч.З, 3.1 и 5 настоящей статьи документов и информации, не допускается.</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В соответствии с ч.2 ст.64 Закона 44-ФЗ документация об электронном аукционе не может содержать требования к оформлению и форме заявки на участие в таком аукционе.</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Согласно Инструкции по заполнению заявки на участие в Аукционе «Первая часть заявки на участие в электронном аукционе, за исключением случая, предусмотренного частью 3.1 статьи 66 Федерального закона от 05.04.2013 № 44-ФЗ, должна содержать:</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при осуществлении закупки товара или закупки работы, услуги, для выполнения, оказания которых используется товар:</w:t>
      </w:r>
    </w:p>
    <w:p>
      <w:pPr>
        <w:pStyle w:val="Style6"/>
        <w:widowControl w:val="0"/>
        <w:keepNext w:val="0"/>
        <w:keepLines w:val="0"/>
        <w:shd w:val="clear" w:color="auto" w:fill="auto"/>
        <w:bidi w:val="0"/>
        <w:jc w:val="both"/>
        <w:spacing w:before="0" w:after="0" w:line="317" w:lineRule="exact"/>
        <w:ind w:left="20" w:right="40" w:firstLine="580"/>
      </w:pPr>
      <w:r>
        <w:rPr>
          <w:lang w:val="ru-RU" w:eastAsia="ru-RU" w:bidi="ru-RU"/>
          <w:w w:val="100"/>
          <w:spacing w:val="0"/>
          <w:color w:val="000000"/>
          <w:position w:val="0"/>
        </w:rPr>
        <w:t>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от 05.04.2013 № 44-ФЗ;</w:t>
      </w:r>
    </w:p>
    <w:p>
      <w:pPr>
        <w:pStyle w:val="Style6"/>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6"/>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Таким образом, довод жалобы не нашел подтверждения.</w:t>
      </w:r>
    </w:p>
    <w:p>
      <w:pPr>
        <w:pStyle w:val="Style6"/>
        <w:numPr>
          <w:ilvl w:val="0"/>
          <w:numId w:val="3"/>
        </w:numPr>
        <w:tabs>
          <w:tab w:leader="none" w:pos="966" w:val="left"/>
        </w:tabs>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соответствии с ч.4 ст.64 Закона 44-ФЗ к документации об электронном аукционе прилагается проект контракта, который является неотъемлемой частью этой документации.</w:t>
      </w:r>
    </w:p>
    <w:p>
      <w:pPr>
        <w:pStyle w:val="Style6"/>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Согласно ч.4 ст.34 Закона 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6"/>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силу ч.8 ст.34 Закона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6"/>
        <w:tabs>
          <w:tab w:leader="none" w:pos="1907"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Размеры</w:t>
        <w:tab/>
        <w:t>штрафа устанавливаются в соответствии с Постановлением</w:t>
      </w:r>
    </w:p>
    <w:p>
      <w:pPr>
        <w:pStyle w:val="Style6"/>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Постановление №1042, Правила определения размера штрафа).</w:t>
      </w:r>
    </w:p>
    <w:p>
      <w:pPr>
        <w:pStyle w:val="Style6"/>
        <w:tabs>
          <w:tab w:leader="none" w:pos="1907"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Согласно</w:t>
        <w:tab/>
        <w:t>извещению №0165100003019000108 о проведении электронного</w:t>
      </w:r>
    </w:p>
    <w:p>
      <w:pPr>
        <w:pStyle w:val="Style6"/>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аукциона закупка проводится в соответствии с п.1 ч.1 ст.ЗО Закона 44-ФЗ.</w:t>
      </w:r>
    </w:p>
    <w:p>
      <w:pPr>
        <w:pStyle w:val="Style6"/>
        <w:tabs>
          <w:tab w:leader="none" w:pos="1907" w:val="left"/>
        </w:tabs>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Пунктом 4 Правил определения размера штрафа установлено за каждый факт неисполнения</w:t>
        <w:tab/>
        <w:t>или ненадлежащего исполнения поставщиком (подрядчиком,</w:t>
      </w:r>
    </w:p>
    <w:p>
      <w:pPr>
        <w:pStyle w:val="Style6"/>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исполнителем) обязательств, предусмотренных контрактом, заключенным по результатам определения поставщика (подрядчика, исполнителя) в соответствии с п.1 ч.1 ст.ЗО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Style6"/>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Пунктом 5.2.3 проекта контракта установлено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Style6"/>
        <w:widowControl w:val="0"/>
        <w:keepNext w:val="0"/>
        <w:keepLines w:val="0"/>
        <w:shd w:val="clear" w:color="auto" w:fill="auto"/>
        <w:bidi w:val="0"/>
        <w:jc w:val="both"/>
        <w:spacing w:before="0" w:after="0" w:line="312" w:lineRule="exact"/>
        <w:ind w:left="40" w:right="20" w:firstLine="560"/>
      </w:pPr>
      <w:r>
        <w:rPr>
          <w:lang w:val="ru-RU" w:eastAsia="ru-RU" w:bidi="ru-RU"/>
          <w:w w:val="100"/>
          <w:spacing w:val="0"/>
          <w:color w:val="000000"/>
          <w:position w:val="0"/>
        </w:rPr>
        <w:t>Таким образом, Заказчиком установлена ответственность исполнителя в соответствии с положениями п.4 Правил определения размера штрафа, довод жалобы не обоснован.</w:t>
      </w:r>
    </w:p>
    <w:p>
      <w:pPr>
        <w:pStyle w:val="Style6"/>
        <w:widowControl w:val="0"/>
        <w:keepNext w:val="0"/>
        <w:keepLines w:val="0"/>
        <w:shd w:val="clear" w:color="auto" w:fill="auto"/>
        <w:bidi w:val="0"/>
        <w:jc w:val="both"/>
        <w:spacing w:before="0" w:after="0" w:line="312" w:lineRule="exact"/>
        <w:ind w:left="40" w:right="20" w:firstLine="560"/>
      </w:pPr>
      <w:r>
        <w:rPr>
          <w:lang w:val="ru-RU" w:eastAsia="ru-RU" w:bidi="ru-RU"/>
          <w:w w:val="100"/>
          <w:spacing w:val="0"/>
          <w:color w:val="000000"/>
          <w:position w:val="0"/>
        </w:rPr>
        <w:t>В соответствии с ч.9 ст. 105 Закона о контрактной системе участник закупки, подавший жалобу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обязан приложить к жалобе документы, подтверждающие обоснованность доводов жалобы.</w:t>
      </w:r>
    </w:p>
    <w:p>
      <w:pPr>
        <w:pStyle w:val="Style6"/>
        <w:widowControl w:val="0"/>
        <w:keepNext w:val="0"/>
        <w:keepLines w:val="0"/>
        <w:shd w:val="clear" w:color="auto" w:fill="auto"/>
        <w:bidi w:val="0"/>
        <w:jc w:val="both"/>
        <w:spacing w:before="0" w:after="0" w:line="312" w:lineRule="exact"/>
        <w:ind w:left="40" w:right="20" w:firstLine="560"/>
      </w:pPr>
      <w:r>
        <w:rPr>
          <w:lang w:val="ru-RU" w:eastAsia="ru-RU" w:bidi="ru-RU"/>
          <w:w w:val="100"/>
          <w:spacing w:val="0"/>
          <w:color w:val="000000"/>
          <w:position w:val="0"/>
        </w:rPr>
        <w:t>Заявитель не представил доказательств для обоснования своих доводов, не обеспечил явку своих представителей на заседание Комиссии Томского УФАС России по рассмотрению настоящего дела.</w:t>
      </w:r>
    </w:p>
    <w:p>
      <w:pPr>
        <w:pStyle w:val="Style6"/>
        <w:widowControl w:val="0"/>
        <w:keepNext w:val="0"/>
        <w:keepLines w:val="0"/>
        <w:shd w:val="clear" w:color="auto" w:fill="auto"/>
        <w:bidi w:val="0"/>
        <w:jc w:val="both"/>
        <w:spacing w:before="0" w:after="0" w:line="312" w:lineRule="exact"/>
        <w:ind w:left="40" w:right="20" w:firstLine="560"/>
      </w:pPr>
      <w:r>
        <w:rPr>
          <w:lang w:val="ru-RU" w:eastAsia="ru-RU" w:bidi="ru-RU"/>
          <w:w w:val="100"/>
          <w:spacing w:val="0"/>
          <w:color w:val="000000"/>
          <w:position w:val="0"/>
        </w:rPr>
        <w:t>Руководствуясь ст.99, ст. 106 Закона о контрактной системе, Комиссия Томского УФАС России,</w:t>
      </w:r>
    </w:p>
    <w:p>
      <w:pPr>
        <w:pStyle w:val="Style21"/>
        <w:widowControl w:val="0"/>
        <w:keepNext w:val="0"/>
        <w:keepLines w:val="0"/>
        <w:shd w:val="clear" w:color="auto" w:fill="auto"/>
        <w:bidi w:val="0"/>
        <w:jc w:val="left"/>
        <w:spacing w:before="0" w:after="0"/>
        <w:ind w:left="4700" w:right="0" w:firstLine="0"/>
      </w:pPr>
      <w:r>
        <w:rPr>
          <w:lang w:val="ru-RU" w:eastAsia="ru-RU" w:bidi="ru-RU"/>
          <w:w w:val="100"/>
          <w:color w:val="000000"/>
          <w:position w:val="0"/>
        </w:rPr>
        <w:t>РЕШИЛА:</w:t>
      </w:r>
    </w:p>
    <w:p>
      <w:pPr>
        <w:pStyle w:val="Style6"/>
        <w:widowControl w:val="0"/>
        <w:keepNext w:val="0"/>
        <w:keepLines w:val="0"/>
        <w:shd w:val="clear" w:color="auto" w:fill="auto"/>
        <w:bidi w:val="0"/>
        <w:jc w:val="both"/>
        <w:spacing w:before="0" w:after="0" w:line="312" w:lineRule="exact"/>
        <w:ind w:left="40" w:right="20" w:firstLine="560"/>
      </w:pPr>
      <w:r>
        <w:rPr>
          <w:lang w:val="ru-RU" w:eastAsia="ru-RU" w:bidi="ru-RU"/>
          <w:w w:val="100"/>
          <w:spacing w:val="0"/>
          <w:color w:val="000000"/>
          <w:position w:val="0"/>
        </w:rPr>
        <w:t>Признать жалобу ИП Лорана А.М. на действия Заказчика при проведении электронного аукциона (извещение №0165100003019000108) необоснованной.</w:t>
      </w:r>
    </w:p>
    <w:p>
      <w:pPr>
        <w:pStyle w:val="Style6"/>
        <w:widowControl w:val="0"/>
        <w:keepNext w:val="0"/>
        <w:keepLines w:val="0"/>
        <w:shd w:val="clear" w:color="auto" w:fill="auto"/>
        <w:bidi w:val="0"/>
        <w:jc w:val="both"/>
        <w:spacing w:before="0" w:after="0" w:line="312" w:lineRule="exact"/>
        <w:ind w:left="40" w:right="20" w:firstLine="560"/>
      </w:pPr>
      <w:r>
        <w:rPr>
          <w:lang w:val="ru-RU" w:eastAsia="ru-RU" w:bidi="ru-RU"/>
          <w:w w:val="100"/>
          <w:spacing w:val="0"/>
          <w:color w:val="000000"/>
          <w:position w:val="0"/>
        </w:rPr>
        <w:t>Решение может быть обжаловано заинтересованным лижом в арбитражный суд в течение трех месяцев в порядке, установленном законодательством Российской Федерации.</w:t>
      </w:r>
    </w:p>
    <w:p>
      <w:pPr>
        <w:pStyle w:val="Style6"/>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Члены Комиссии</w:t>
      </w:r>
    </w:p>
    <w:sectPr>
      <w:pgSz w:w="11906" w:h="16838"/>
      <w:pgMar w:top="676" w:left="797" w:right="775" w:bottom="97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 Exact"/>
    <w:basedOn w:val="DefaultParagraphFont"/>
    <w:rPr>
      <w:b w:val="0"/>
      <w:bCs w:val="0"/>
      <w:i w:val="0"/>
      <w:iCs w:val="0"/>
      <w:u w:val="none"/>
      <w:strike w:val="0"/>
      <w:smallCaps w:val="0"/>
      <w:sz w:val="19"/>
      <w:szCs w:val="19"/>
      <w:rFonts w:ascii="Times New Roman" w:eastAsia="Times New Roman" w:hAnsi="Times New Roman" w:cs="Times New Roman"/>
      <w:spacing w:val="-8"/>
    </w:rPr>
  </w:style>
  <w:style w:type="character" w:customStyle="1" w:styleId="CharStyle15">
    <w:name w:val="Основной текст (4) Exact"/>
    <w:basedOn w:val="CharStyle16"/>
    <w:rPr>
      <w:sz w:val="19"/>
      <w:szCs w:val="19"/>
      <w:spacing w:val="-8"/>
    </w:rPr>
  </w:style>
  <w:style w:type="character" w:customStyle="1" w:styleId="CharStyle16">
    <w:name w:val="Основной текст (4)_"/>
    <w:basedOn w:val="DefaultParagraphFont"/>
    <w:link w:val="Style13"/>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7">
    <w:name w:val="Основной текст (4)"/>
    <w:basedOn w:val="CharStyle16"/>
    <w:rPr>
      <w:lang w:val="ru-RU" w:eastAsia="ru-RU" w:bidi="ru-RU"/>
      <w:w w:val="100"/>
      <w:color w:val="000000"/>
      <w:position w:val="0"/>
    </w:rPr>
  </w:style>
  <w:style w:type="character" w:customStyle="1" w:styleId="CharStyle18">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20">
    <w:name w:val="Заголовок №1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val="0"/>
      <w:iCs w:val="0"/>
      <w:u w:val="none"/>
      <w:strike w:val="0"/>
      <w:smallCaps w:val="0"/>
      <w:sz w:val="22"/>
      <w:szCs w:val="22"/>
      <w:rFonts w:ascii="Times New Roman" w:eastAsia="Times New Roman" w:hAnsi="Times New Roman" w:cs="Times New Roman"/>
      <w:spacing w:val="50"/>
    </w:rPr>
  </w:style>
  <w:style w:type="paragraph" w:customStyle="1" w:styleId="Style3">
    <w:name w:val="Основной текст (2)"/>
    <w:basedOn w:val="Normal"/>
    <w:link w:val="CharStyle4"/>
    <w:pPr>
      <w:widowControl w:val="0"/>
      <w:shd w:val="clear" w:color="auto" w:fill="FFFFFF"/>
      <w:jc w:val="center"/>
      <w:spacing w:before="180" w:after="60" w:line="24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60" w:after="60" w:line="27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60" w:line="22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4)"/>
    <w:basedOn w:val="Normal"/>
    <w:link w:val="CharStyle1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9">
    <w:name w:val="Заголовок №1"/>
    <w:basedOn w:val="Normal"/>
    <w:link w:val="CharStyle20"/>
    <w:pPr>
      <w:widowControl w:val="0"/>
      <w:shd w:val="clear" w:color="auto" w:fill="FFFFFF"/>
      <w:outlineLvl w:val="0"/>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312" w:lineRule="exact"/>
    </w:pPr>
    <w:rPr>
      <w:b w:val="0"/>
      <w:bCs w:val="0"/>
      <w:i w:val="0"/>
      <w:iCs w:val="0"/>
      <w:u w:val="none"/>
      <w:strike w:val="0"/>
      <w:smallCaps w:val="0"/>
      <w:sz w:val="22"/>
      <w:szCs w:val="22"/>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