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3679" w:h="1526" w:wrap="none" w:vAnchor="text" w:hAnchor="margin" w:x="5884" w:y="38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0" w:firstLine="0"/>
      </w:pPr>
      <w:r>
        <w:rPr>
          <w:rStyle w:val="CharStyle4"/>
          <w:spacing w:val="0"/>
        </w:rPr>
        <w:t>ООО «Промторг»</w:t>
      </w:r>
    </w:p>
    <w:p>
      <w:pPr>
        <w:pStyle w:val="Style3"/>
        <w:framePr w:w="3679" w:h="1526" w:wrap="none" w:vAnchor="text" w:hAnchor="margin" w:x="5884" w:y="38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20" w:right="100" w:firstLine="0"/>
      </w:pPr>
      <w:r>
        <w:rPr>
          <w:rStyle w:val="CharStyle4"/>
          <w:spacing w:val="0"/>
        </w:rPr>
        <w:t>347900. г. Таганрог. Северо- Западное шоссе. СНТ Дачное-2 дом/уч. 3/521 (далее-Заявитеяь)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81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74" w:left="929" w:right="929" w:bottom="274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668" w:after="0" w:line="299" w:lineRule="exact"/>
        <w:ind w:left="6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Ростовское У ФАС России поступила жалоба Заявителя на действия МБУЗ «ГБСМП» (далее - Заказчик) при проведении электронного аукциона </w:t>
      </w:r>
      <w:r>
        <w:rPr>
          <w:rStyle w:val="CharStyle8"/>
        </w:rPr>
        <w:t>Ко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0358300000519000413 «Право заключить договор на поставку химреактивов для нужд МБУЗ </w:t>
      </w:r>
      <w:r>
        <w:rPr>
          <w:rStyle w:val="CharStyle8"/>
        </w:rPr>
        <w:t>ТБСМП"»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6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ч.9 ст.105 Закона, к жалобе прикладываются документы, подтверждающие ее обоснованность. При этом жалоба должна содержать перечень прилагаемых к ней документов. Заявителем какие-либо документы, подтверждающие обоснованность жалобы, не приложены.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6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п.4 ч.8 ст.105 Закона жалоба, на действия (бездействие) заказчика, комиссии по осуществлению закупок, ее членов должна содержать: указание на обжалуемые действия (бездействие) заказчика, комиссии по осуществлению закупок, ее членов, доводы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6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пункту 1 статьи 10 Гражданского кодекса Российской Федерации не допускаются осуществление гражданских прав исключительно с намерением причинить вред другому лицу, действия в обход закона с противоправной целью, а также иное заведомо недобросовестное осуществление гражданских прав (злоупотребление правом).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6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«Промторг» неоднократно подавало жалобы на Заказчика, с доводами, аналогичными настоящей жалобе, что свидетельствует о недобросовестном поведении со стороны Заявителя.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6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Ввиду изложенного и на основании чЛ 1 ст.105 Закона. Ростовским УФАС России принято решение о возврате названной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555" w:line="299" w:lineRule="exact"/>
        <w:ind w:left="6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Решение Ростовского УФАС России о возврате жалобы может быть обжаловано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судебном порядке.</w:t>
      </w:r>
    </w:p>
    <w:p>
      <w:pPr>
        <w:pStyle w:val="Style5"/>
        <w:framePr w:h="355" w:wrap="notBeside" w:vAnchor="text" w:hAnchor="margin" w:x="8382" w:y="645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024088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84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 1сп.</w:t>
      </w:r>
      <w:r>
        <w:rPr>
          <w:rStyle w:val="CharStyle11"/>
          <w:i w:val="0"/>
          <w:iCs w:val="0"/>
        </w:rPr>
        <w:t xml:space="preserve"> </w:t>
      </w:r>
      <w:r>
        <w:rPr>
          <w:rStyle w:val="CharStyle12"/>
          <w:i w:val="0"/>
          <w:iCs w:val="0"/>
        </w:rPr>
        <w:t xml:space="preserve">." </w:t>
      </w:r>
      <w:r>
        <w:rPr>
          <w:rStyle w:val="CharStyle11"/>
          <w:i w:val="0"/>
          <w:iCs w:val="0"/>
        </w:rPr>
        <w:t xml:space="preserve">7 </w:t>
      </w:r>
      <w:r>
        <w:rPr>
          <w:rStyle w:val="CharStyle13"/>
          <w:lang w:val="en-US" w:eastAsia="en-US" w:bidi="en-US"/>
          <w:i/>
          <w:iCs/>
        </w:rPr>
        <w:t>UM4</w:t>
      </w:r>
      <w:r>
        <w:rPr>
          <w:rStyle w:val="CharStyle11"/>
          <w:i w:val="0"/>
          <w:iCs w:val="0"/>
        </w:rPr>
        <w:t>с</w:t>
      </w:r>
      <w:r>
        <w:rPr>
          <w:rStyle w:val="CharStyle12"/>
          <w:i w:val="0"/>
          <w:iCs w:val="0"/>
        </w:rPr>
        <w:t>/;</w:t>
      </w:r>
      <w:r>
        <w:rPr>
          <w:rStyle w:val="CharStyle13"/>
          <w:i/>
          <w:iCs/>
        </w:rPr>
        <w:t xml:space="preserve">гСО Я*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С. </w:t>
      </w:r>
      <w:r>
        <w:rPr>
          <w:rStyle w:val="CharStyle14"/>
          <w:lang w:val="en-US" w:eastAsia="en-US" w:bidi="en-US"/>
          <w:i/>
          <w:iCs/>
        </w:rPr>
        <w:t xml:space="preserve">S;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563) </w:t>
      </w:r>
      <w:r>
        <w:rPr>
          <w:rStyle w:val="CharStyle14"/>
          <w:i/>
          <w:iCs/>
        </w:rPr>
        <w:t>2-0-36-38</w:t>
      </w:r>
    </w:p>
    <w:sectPr>
      <w:type w:val="continuous"/>
      <w:pgSz w:w="11906" w:h="16838"/>
      <w:pgMar w:top="164" w:left="951" w:right="955" w:bottom="484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Sylfaen" w:eastAsia="Sylfaen" w:hAnsi="Sylfaen" w:cs="Sylfaen"/>
      <w:spacing w:val="5"/>
    </w:rPr>
  </w:style>
  <w:style w:type="character" w:customStyle="1" w:styleId="CharStyle6">
    <w:name w:val="Основной текст (3) Exact"/>
    <w:basedOn w:val="DefaultParagraphFont"/>
    <w:link w:val="Style5"/>
    <w:rPr>
      <w:b w:val="0"/>
      <w:bCs w:val="0"/>
      <w:i/>
      <w:iCs/>
      <w:u w:val="none"/>
      <w:strike w:val="0"/>
      <w:smallCaps w:val="0"/>
      <w:sz w:val="32"/>
      <w:szCs w:val="32"/>
      <w:rFonts w:ascii="Sylfaen" w:eastAsia="Sylfaen" w:hAnsi="Sylfaen" w:cs="Sylfaen"/>
      <w:spacing w:val="4"/>
    </w:rPr>
  </w:style>
  <w:style w:type="character" w:customStyle="1" w:styleId="CharStyle7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Sylfaen" w:eastAsia="Sylfaen" w:hAnsi="Sylfaen" w:cs="Sylfaen"/>
    </w:rPr>
  </w:style>
  <w:style w:type="character" w:customStyle="1" w:styleId="CharStyle8">
    <w:name w:val="Основной текст + Курсив"/>
    <w:basedOn w:val="CharStyle7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2)_"/>
    <w:basedOn w:val="DefaultParagraphFont"/>
    <w:link w:val="Style9"/>
    <w:rPr>
      <w:b w:val="0"/>
      <w:bCs w:val="0"/>
      <w:i/>
      <w:iCs/>
      <w:u w:val="none"/>
      <w:strike w:val="0"/>
      <w:smallCaps w:val="0"/>
      <w:sz w:val="17"/>
      <w:szCs w:val="17"/>
      <w:rFonts w:ascii="Sylfaen" w:eastAsia="Sylfaen" w:hAnsi="Sylfaen" w:cs="Sylfaen"/>
    </w:rPr>
  </w:style>
  <w:style w:type="character" w:customStyle="1" w:styleId="CharStyle11">
    <w:name w:val="Основной текст (2) + 7 pt,Не курсив,Масштаб 75%"/>
    <w:basedOn w:val="CharStyle10"/>
    <w:rPr>
      <w:lang w:val="ru-RU" w:eastAsia="ru-RU" w:bidi="ru-RU"/>
      <w:i/>
      <w:iCs/>
      <w:sz w:val="14"/>
      <w:szCs w:val="14"/>
      <w:w w:val="75"/>
      <w:spacing w:val="0"/>
      <w:color w:val="000000"/>
      <w:position w:val="0"/>
    </w:rPr>
  </w:style>
  <w:style w:type="character" w:customStyle="1" w:styleId="CharStyle12">
    <w:name w:val="Основной текст (2) + 4 pt,Не курсив"/>
    <w:basedOn w:val="CharStyle10"/>
    <w:rPr>
      <w:lang w:val="ru-RU" w:eastAsia="ru-RU" w:bidi="ru-RU"/>
      <w:i/>
      <w:iCs/>
      <w:sz w:val="8"/>
      <w:szCs w:val="8"/>
      <w:w w:val="100"/>
      <w:spacing w:val="0"/>
      <w:color w:val="000000"/>
      <w:position w:val="0"/>
    </w:rPr>
  </w:style>
  <w:style w:type="character" w:customStyle="1" w:styleId="CharStyle13">
    <w:name w:val="Основной текст (2) + 5 pt"/>
    <w:basedOn w:val="CharStyle10"/>
    <w:rPr>
      <w:lang w:val="ru-RU" w:eastAsia="ru-RU" w:bidi="ru-RU"/>
      <w:sz w:val="10"/>
      <w:szCs w:val="10"/>
      <w:w w:val="100"/>
      <w:spacing w:val="0"/>
      <w:color w:val="000000"/>
      <w:position w:val="0"/>
    </w:rPr>
  </w:style>
  <w:style w:type="character" w:customStyle="1" w:styleId="CharStyle14">
    <w:name w:val="Основной текст (2) + Полужирный"/>
    <w:basedOn w:val="CharStyle10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7"/>
    <w:pPr>
      <w:widowControl w:val="0"/>
      <w:shd w:val="clear" w:color="auto" w:fill="FFFFFF"/>
      <w:spacing w:line="302" w:lineRule="exact"/>
    </w:pPr>
    <w:rPr>
      <w:b w:val="0"/>
      <w:bCs w:val="0"/>
      <w:i w:val="0"/>
      <w:iCs w:val="0"/>
      <w:u w:val="none"/>
      <w:strike w:val="0"/>
      <w:smallCaps w:val="0"/>
      <w:rFonts w:ascii="Sylfaen" w:eastAsia="Sylfaen" w:hAnsi="Sylfaen" w:cs="Sylfae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32"/>
      <w:szCs w:val="32"/>
      <w:rFonts w:ascii="Sylfaen" w:eastAsia="Sylfaen" w:hAnsi="Sylfaen" w:cs="Sylfaen"/>
      <w:spacing w:val="4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spacing w:before="480" w:line="205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Sylfaen" w:eastAsia="Sylfaen" w:hAnsi="Sylfaen" w:cs="Sylfae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