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90" w:wrap="around" w:vAnchor="text" w:hAnchor="margin" w:x="2236" w:y="4812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rStyle w:val="CharStyle4"/>
          <w:b/>
          <w:bCs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406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6"/>
        <w:tabs>
          <w:tab w:leader="none" w:pos="3022" w:val="left"/>
          <w:tab w:leader="none" w:pos="4949" w:val="right"/>
          <w:tab w:leader="none" w:pos="4169" w:val="right"/>
          <w:tab w:leader="none" w:pos="4745" w:val="right"/>
          <w:tab w:leader="none" w:pos="4841" w:val="right"/>
        </w:tabs>
        <w:widowControl w:val="0"/>
        <w:keepNext w:val="0"/>
        <w:keepLines w:val="0"/>
        <w:shd w:val="clear" w:color="auto" w:fill="auto"/>
        <w:bidi w:val="0"/>
        <w:spacing w:before="0" w:after="0" w:line="120" w:lineRule="exact"/>
        <w:ind w:left="17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|э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г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!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w w:val="100"/>
          <w:spacing w:val="0"/>
          <w:color w:val="000000"/>
          <w:position w:val="0"/>
        </w:rPr>
        <w:t>!</w:t>
        <w:tab/>
      </w:r>
      <w:r>
        <w:rPr>
          <w:rStyle w:val="CharStyle8"/>
        </w:rPr>
        <w:t>■ 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;</w:t>
        <w:tab/>
        <w:t>4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>j</w:t>
        <w:tab/>
        <w:t>if</w:t>
        <w:tab/>
      </w:r>
      <w:r>
        <w:rPr>
          <w:rStyle w:val="CharStyle8"/>
        </w:rPr>
        <w:t>'=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182"/>
        <w:ind w:left="0" w:right="0" w:firstLine="0"/>
      </w:pPr>
      <w:r>
        <w:rPr>
          <w:rStyle w:val="CharStyle11"/>
          <w:b/>
          <w:bCs/>
        </w:rPr>
        <w:t xml:space="preserve">УПРАВЛЕНИЕ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Ростовской области</w:t>
      </w:r>
    </w:p>
    <w:p>
      <w:pPr>
        <w:pStyle w:val="Style12"/>
        <w:tabs>
          <w:tab w:leader="none" w:pos="4023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194"/>
        <w:ind w:left="640" w:right="760" w:firstLine="3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Ворошиловский, 2/2. офис 403 ; г. Ростов-на-Дону,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 io61-0ifas.gov.ru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;</w:t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239" w:line="320" w:lineRule="exact"/>
        <w:ind w:left="64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/4.</w:t>
      </w:r>
      <w:r>
        <w:rPr>
          <w:rStyle w:val="CharStyle16"/>
          <w:i/>
          <w:iCs/>
        </w:rPr>
        <w:t>0</w:t>
      </w:r>
      <w:r>
        <w:rPr>
          <w:lang w:val="ru-RU" w:eastAsia="ru-RU" w:bidi="ru-RU"/>
          <w:w w:val="100"/>
          <w:spacing w:val="0"/>
          <w:color w:val="000000"/>
          <w:position w:val="0"/>
        </w:rPr>
        <w:t>/Л</w:t>
      </w:r>
      <w:r>
        <w:rPr>
          <w:rStyle w:val="CharStyle16"/>
          <w:i/>
          <w:iCs/>
        </w:rPr>
        <w:t>о£О</w:t>
      </w:r>
      <w:r>
        <w:rPr>
          <w:rStyle w:val="CharStyle17"/>
          <w:i w:val="0"/>
          <w:iCs w:val="0"/>
        </w:rPr>
        <w:t xml:space="preserve"> </w:t>
      </w:r>
      <w:r>
        <w:rPr>
          <w:rStyle w:val="CharStyle17"/>
          <w:vertAlign w:val="subscript"/>
          <w:i w:val="0"/>
          <w:iCs w:val="0"/>
        </w:rPr>
        <w:t>№</w:t>
      </w:r>
      <w:r>
        <w:rPr>
          <w:rStyle w:val="CharStyle17"/>
          <w:i w:val="0"/>
          <w:iCs w:val="0"/>
        </w:rPr>
        <w:t xml:space="preserve"> </w:t>
      </w:r>
      <w:r>
        <w:rPr>
          <w:rStyle w:val="CharStyle18"/>
          <w:i/>
          <w:iCs/>
        </w:rPr>
        <w:t>Нз/оЗ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«Атлантикпро»</w:t>
      </w:r>
    </w:p>
    <w:p>
      <w:pPr>
        <w:pStyle w:val="Style21"/>
        <w:tabs>
          <w:tab w:leader="none" w:pos="2697" w:val="right"/>
          <w:tab w:leader="none" w:pos="2978" w:val="center"/>
          <w:tab w:leader="none" w:pos="319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(далее - Заявитель) пр. Ленина, д. 101/2 оф.23 г. Екатеринбург, 620062 эл. почта: </w:t>
      </w:r>
      <w:r>
        <w:fldChar w:fldCharType="begin"/>
      </w:r>
      <w:r>
        <w:rPr>
          <w:color w:val="000000"/>
        </w:rPr>
        <w:instrText> HYPERLINK "mailto:atlanticpro6j6@gmail.com"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atlanticpro6j6@gmail.com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23"/>
        </w:rPr>
        <w:t xml:space="preserve">1*1 </w:t>
      </w:r>
      <w:r>
        <w:rPr>
          <w:rStyle w:val="CharStyle23"/>
          <w:lang w:val="en-US" w:eastAsia="en-US" w:bidi="en-US"/>
        </w:rPr>
        <w:t xml:space="preserve">i| </w:t>
      </w:r>
      <w:r>
        <w:rPr>
          <w:rStyle w:val="CharStyle23"/>
        </w:rPr>
        <w:t>: |</w:t>
        <w:tab/>
      </w:r>
      <w:r>
        <w:rPr>
          <w:rStyle w:val="CharStyle24"/>
        </w:rPr>
        <w:t>\</w:t>
      </w:r>
      <w:r>
        <w:rPr>
          <w:rStyle w:val="CharStyle23"/>
        </w:rPr>
        <w:tab/>
        <w:t>•</w:t>
        <w:tab/>
        <w:t>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МКУ «Управление капитального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строительства города Ростова-на-Дону»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Заказчик)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Большая Садовая, д. 184/61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Ростов-на-Дону, 344022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эл. почта: </w:t>
      </w:r>
      <w:r>
        <w:fldChar w:fldCharType="begin"/>
      </w:r>
      <w:r>
        <w:rPr>
          <w:color w:val="000000"/>
        </w:rPr>
        <w:instrText> HYPERLINK "mailto:uks.rostov@mail.ru"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uks.rostov@mail.ru</w:t>
      </w:r>
      <w:r>
        <w:fldChar w:fldCharType="end"/>
      </w:r>
    </w:p>
    <w:p>
      <w:pPr>
        <w:pStyle w:val="Style12"/>
        <w:tabs>
          <w:tab w:leader="none" w:pos="1322" w:val="left"/>
          <w:tab w:leader="none" w:pos="2061" w:val="right"/>
          <w:tab w:leader="none" w:pos="2267" w:val="right"/>
          <w:tab w:leader="none" w:pos="269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: • </w:t>
      </w:r>
      <w:r>
        <w:rPr>
          <w:rStyle w:val="CharStyle25"/>
        </w:rPr>
        <w:t xml:space="preserve">ь </w:t>
      </w:r>
      <w:r>
        <w:rPr>
          <w:lang w:val="ru-RU" w:eastAsia="ru-RU" w:bidi="ru-RU"/>
          <w:w w:val="100"/>
          <w:spacing w:val="0"/>
          <w:color w:val="000000"/>
          <w:position w:val="0"/>
        </w:rPr>
        <w:t>‘ ' ’*</w:t>
        <w:tab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!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,</w:t>
        <w:tab/>
        <w:t xml:space="preserve">;’ </w:t>
      </w:r>
      <w:r>
        <w:rPr>
          <w:lang w:val="en-US" w:eastAsia="en-US" w:bidi="en-US"/>
          <w:w w:val="100"/>
          <w:spacing w:val="0"/>
          <w:color w:val="000000"/>
          <w:position w:val="0"/>
        </w:rPr>
        <w:t>I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@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!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Правительство Ростовской области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Привлеченное лицо)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344050, г. Ростов-на-Дону,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Социалистическая, д. 112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 • •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40" w:right="20" w:firstLine="0"/>
      </w:pPr>
      <w:r>
        <w:rPr>
          <w:rStyle w:val="CharStyle28"/>
          <w:b w:val="0"/>
          <w:bCs w:val="0"/>
        </w:rPr>
        <w:t xml:space="preserve">АО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«Агентство по государственному заказу Республики Татарстан»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4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380" w:left="3431" w:right="3738" w:bottom="3553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(далее - Оператор электронной площадки) эл. почта: </w:t>
      </w:r>
      <w:r>
        <w:fldChar w:fldCharType="begin"/>
      </w:r>
      <w:r>
        <w:rPr>
          <w:color w:val="000000"/>
        </w:rPr>
        <w:instrText> HYPERLINK "mailto:info@tatar.ru"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info@tatar.ru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; </w:t>
      </w:r>
      <w:r>
        <w:fldChar w:fldCharType="begin"/>
      </w:r>
      <w:r>
        <w:rPr>
          <w:color w:val="000000"/>
        </w:rPr>
        <w:instrText> HYPERLINK "mailto:agzrt@tatar.ru"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agzrt@tatar.ru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center"/>
        <w:spacing w:before="0" w:after="0" w:line="298" w:lineRule="exact"/>
        <w:ind w:left="0" w:right="0" w:firstLine="0"/>
        <w:sectPr>
          <w:type w:val="continuous"/>
          <w:pgSz w:w="16838" w:h="23810"/>
          <w:pgMar w:top="3395" w:left="5020" w:right="4636" w:bottom="356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061/06/64-2278/2019 о нарушении законодательства о контрактной системе в сфере закупок</w:t>
      </w:r>
    </w:p>
    <w:p>
      <w:pPr>
        <w:widowControl w:val="0"/>
        <w:spacing w:before="55" w:after="5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framePr w:h="240" w:vSpace="365" w:wrap="around" w:hAnchor="margin" w:x="7941" w:y="919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9"/>
        </w:rPr>
        <w:t>г. Ростов-на-Дону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26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9 января 2020 года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 ФАС России) по контролю соблюдения законодательства о контрактной системе в сфере закупок в составе:</w:t>
      </w:r>
    </w:p>
    <w:p>
      <w:pPr>
        <w:pStyle w:val="Style21"/>
        <w:tabs>
          <w:tab w:leader="none" w:pos="40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  <w:tab/>
        <w:t>М.А. Благодарев,</w:t>
      </w:r>
    </w:p>
    <w:p>
      <w:pPr>
        <w:pStyle w:val="Style21"/>
        <w:tabs>
          <w:tab w:leader="none" w:pos="400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10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  <w:tab/>
        <w:t>Т.С. Акопян, Р.Н. Рыбин,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286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дело № 061/06/64-2278/2019 о нарушении норм Федерального закона «О контрактной системе в сфере закупок товаров, работ, услуг для обеспечения государственных и муниципальных нужд» (далее - Закон) при проведении аукциона в электронной форме №0358300345319000141 «Выполнение работ по объекту "Строительство детского дошкольного учреждения на 140 мест в VI микрорайоне жилого района "Левенцовский" (с.п. 6 - 25)"», в присутствии: от Заказчика - Репенко Е.В. (доверенность от 09.01.2020), в отсутствие представителя Заявителя, Привлеченного лица и Оператора электронной площадки,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center"/>
        <w:spacing w:before="0" w:after="252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Ростовское УФАС России поступила жалоба Заявителя, в которой обжалуются положения аукционной документации.</w:t>
      </w:r>
    </w:p>
    <w:p>
      <w:pPr>
        <w:pStyle w:val="Style21"/>
        <w:tabs>
          <w:tab w:leader="none" w:pos="1868" w:val="right"/>
          <w:tab w:leader="none" w:pos="2722" w:val="right"/>
          <w:tab w:leader="none" w:pos="2238" w:val="right"/>
          <w:tab w:leader="none" w:pos="2545" w:val="right"/>
          <w:tab w:leader="none" w:pos="26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94" w:line="30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 мнению Заявителя, аукционная документация составлена с нарушениями Закона.</w:t>
        <w:tab/>
      </w:r>
      <w:r>
        <w:rPr>
          <w:rStyle w:val="CharStyle30"/>
          <w:lang w:val="en-US" w:eastAsia="en-US" w:bidi="en-US"/>
        </w:rPr>
        <w:t>v</w:t>
        <w:tab/>
      </w:r>
      <w:r>
        <w:rPr>
          <w:rStyle w:val="CharStyle30"/>
        </w:rPr>
        <w:t>■</w:t>
        <w:tab/>
        <w:t>■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I</w:t>
        <w:tab/>
        <w:t>■</w:t>
      </w:r>
    </w:p>
    <w:p>
      <w:pPr>
        <w:pStyle w:val="Style31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0" w:firstLine="0"/>
      </w:pPr>
      <w:bookmarkStart w:id="1" w:name="bookmark1"/>
      <w:r>
        <w:rPr>
          <w:lang w:val="ru-RU" w:eastAsia="ru-RU" w:bidi="ru-RU"/>
          <w:w w:val="100"/>
          <w:color w:val="000000"/>
          <w:position w:val="0"/>
        </w:rPr>
        <w:t>025539</w:t>
      </w:r>
      <w:bookmarkEnd w:id="1"/>
      <w:r>
        <w:br w:type="page"/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 в возражениях (от 30.12.20Т9 №59.46-1503) на жалобу: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20" w:firstLine="9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отрицал нарушения Закона при ‘подготовке документации об электронном аукционе;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0" w:line="302" w:lineRule="exact"/>
        <w:ind w:left="20" w:right="0" w:firstLine="9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представил пояснения по доводам жалобы;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ч.ч.1, 3, 15 ст.99 Закона, «Административным регламентом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 (далее - Регламент), утвержденным Приказом ФАС России от 19.11.2014 г. №727/14, по указанной жалобе проведена внеплановая проверка порядка осуществления закупки, в результате которой установлено следующее:</w:t>
      </w:r>
    </w:p>
    <w:p>
      <w:pPr>
        <w:pStyle w:val="Style33"/>
        <w:tabs>
          <w:tab w:leader="none" w:pos="3972" w:val="center"/>
          <w:tab w:leader="none" w:pos="4214" w:val="center"/>
          <w:tab w:leader="none" w:pos="5710" w:val="right"/>
          <w:tab w:leader="none" w:pos="6521" w:val="center"/>
          <w:tab w:leader="none" w:pos="7025" w:val="left"/>
        </w:tabs>
        <w:widowControl w:val="0"/>
        <w:keepNext/>
        <w:keepLines/>
        <w:shd w:val="clear" w:color="auto" w:fill="auto"/>
        <w:bidi w:val="0"/>
        <w:spacing w:before="0" w:after="0" w:line="380" w:lineRule="exact"/>
        <w:ind w:left="180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|! У • I'.!;,!</w:t>
        <w:tab/>
        <w:t>!</w:t>
        <w:tab/>
        <w:t>;</w:t>
        <w:tab/>
        <w:t>Т</w:t>
        <w:tab/>
        <w:t>||П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  <w:r>
        <w:rPr>
          <w:rStyle w:val="CharStyle35"/>
        </w:rPr>
        <w:t xml:space="preserve">if-N </w:t>
      </w:r>
      <w:r>
        <w:rPr>
          <w:rStyle w:val="CharStyle35"/>
          <w:lang w:val="ru-RU" w:eastAsia="ru-RU" w:bidi="ru-RU"/>
        </w:rPr>
        <w:t>г !</w:t>
      </w:r>
      <w:bookmarkEnd w:id="2"/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«Извещению о проведении электронного аукциона» №0358300345319000141: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установлены дата и время окончания подачи заявок-26.12.2019 в 09:00;</w:t>
      </w:r>
    </w:p>
    <w:p>
      <w:pPr>
        <w:pStyle w:val="Style2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начальная (максимальная) цена контракта (НМЦК) составила 237794270,00 руб.;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Извещение, документация размещены в Единой информационной системе (ЕИС)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rStyle w:val="CharStyle36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17.12.2019.</w:t>
      </w:r>
    </w:p>
    <w:p>
      <w:pPr>
        <w:pStyle w:val="Style37"/>
        <w:tabs>
          <w:tab w:leader="none" w:pos="2318" w:val="left"/>
          <w:tab w:leader="none" w:pos="4214" w:val="center"/>
          <w:tab w:leader="none" w:pos="4757" w:val="right"/>
          <w:tab w:leader="none" w:pos="5198" w:val="right"/>
          <w:tab w:leader="none" w:pos="5102" w:val="right"/>
          <w:tab w:leader="none" w:pos="6547" w:val="center"/>
          <w:tab w:leader="none" w:pos="5674" w:val="right"/>
          <w:tab w:leader="none" w:pos="6278" w:val="center"/>
          <w:tab w:leader="none" w:pos="6370" w:val="center"/>
          <w:tab w:leader="none" w:pos="6581" w:val="center"/>
          <w:tab w:leader="none" w:pos="7025" w:val="lef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1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|3;</w:t>
        <w:tab/>
        <w:t>; I :</w:t>
        <w:tab/>
        <w:t>’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•</w:t>
        <w:tab/>
        <w:t>I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;</w:t>
        <w:tab/>
        <w:t>!</w:t>
        <w:tab/>
      </w:r>
      <w:r>
        <w:rPr>
          <w:rStyle w:val="CharStyle39"/>
          <w:b w:val="0"/>
          <w:bCs w:val="0"/>
        </w:rPr>
        <w:t>\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5</w:t>
        <w:tab/>
        <w:t xml:space="preserve">!| I 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;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-</w:t>
      </w:r>
    </w:p>
    <w:p>
      <w:pPr>
        <w:pStyle w:val="Style21"/>
        <w:tabs>
          <w:tab w:leader="none" w:pos="3178" w:val="center"/>
          <w:tab w:leader="none" w:pos="2664" w:val="right"/>
          <w:tab w:leader="none" w:pos="2774" w:val="center"/>
          <w:tab w:leader="none" w:pos="2909" w:val="center"/>
          <w:tab w:leader="none" w:pos="3178" w:val="center"/>
          <w:tab w:leader="none" w:pos="3972" w:val="center"/>
          <w:tab w:leader="none" w:pos="4214" w:val="center"/>
          <w:tab w:leader="none" w:pos="6338" w:val="center"/>
          <w:tab w:leader="none" w:pos="725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800" w:right="0" w:firstLine="0"/>
      </w:pPr>
      <w:r>
        <w:rPr>
          <w:rStyle w:val="CharStyle30"/>
        </w:rPr>
        <w:t>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!</w:t>
        <w:tab/>
        <w:t>!</w:t>
        <w:tab/>
        <w:t>!</w:t>
        <w:tab/>
        <w:t>-</w:t>
        <w:tab/>
        <w:t>V</w:t>
        <w:tab/>
        <w:t>‘</w:t>
        <w:tab/>
        <w:t>'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;</w:t>
        <w:tab/>
        <w:t>!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ab/>
        <w:t>■ I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5" w:line="240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протоколу от 26.12.2019 аукцион признан несостоявшимся в связи с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26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отсутствием заявок участников.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Рассматривая жалобу Заявителя Комиссией Ростовского У ФАС России (далее - Комиссия) установлено следующее.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Заявителем в жалобе указано, что Заказчик в ЕИС разместил аукционную документацию, а также проектно-сметную документацию, где содержится смета «02-01- 16» в соответствии с которой, кроме выполнения работ по строительству, Подряд</w:t>
      </w:r>
      <w:r>
        <w:rPr>
          <w:rStyle w:val="CharStyle36"/>
        </w:rPr>
        <w:t>чик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должен поставить оборудование, в том числе мебель (диван, чайник, стол, стул, фен и т.д.), при этом данные товары функционально и технологически не связаны с работами по строительству. Кроме того, заявителем указано, что Заказчиком не установлены запреты и ограничения на закупаемую мебель в соответствии со ст. 14 Закона.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ч.1 ст.64 Закона документация об аукционе должна содержать наименование и описание объекта закупки и условия контракта в соответствии со статьей 33 Закона, а также требования к содержанию, составу заявки на участие в таком аукционе и инструкцию по ее заполнению,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i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4.3.1 ст.66 Закона первая часть заявки на участие в электронном аукционе в случае включения в документацию о закупке в соответствии с пунктом 8 части 1 статьи 33 Закона проектной документации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 программно-аппаратных средств эл:ектронной площадки).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3 статьи 14 Закона установлено, что в целях защиты основ конституционного строя, обеспечения обороны страны и безопасности государства, защиты внутреннего рынка Российской Федерации, развития национальной экономики, поддержки российских товаропроизводителей нормативными правовыми актами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Правительства Российской Федерации устанавливаются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ограничения допуска указанных товаров, работ, услуг для целей осуществления закупок. В случае, если указанными нормативными правовыми актами Правительства Российской Федерации предусмотрены обстоятельства, допускающие исключения из установленных в соответствии с настоящей частью запрета или ограничений,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ограничений, если такими актами не установлено иное. В таких нормативных правовых актах устанавливается порядок подготовки обоснования невозможности соблюдения указанных запрета или ограничений, а также требования к его содержанию. Определение страны происхождения указанных товаров осуществляется в соответствии с законодательством Российской Федерации.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Заказчиком в ЕИС опубликована аукционная документация, а также проектно</w:t>
        <w:softHyphen/>
        <w:t>сметная документация, содержащая в том числе локальный сметный расчет «02-01-16/1».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Приложении №2 к аукционной документации (Описание объекта закупки) Заказчиком установлено, что проектная документация, в т.ч.: сметные расчёты, являются неотъемлемой составляющей Приложения №2 к документации об аукционе и в полном объеме размещены в единой информационной системе. Проектная документация полностью соответствует рабочей документации. Объем поставляемого монтируемого технологического оборудования определяется в соответствии |с локальным сметным расчетом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JIC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02-01-16/1. </w:t>
      </w:r>
      <w:r>
        <w:rPr>
          <w:rStyle w:val="CharStyle36"/>
        </w:rPr>
        <w:t>Иное технологическое немонтируемое оборудование,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6"/>
        </w:rPr>
        <w:t xml:space="preserve">предусмотренное локальным сметным расчетом </w:t>
      </w:r>
      <w:r>
        <w:rPr>
          <w:rStyle w:val="CharStyle36"/>
          <w:lang w:val="en-US" w:eastAsia="en-US" w:bidi="en-US"/>
        </w:rPr>
        <w:t xml:space="preserve">JIC02-01-16 </w:t>
      </w:r>
      <w:r>
        <w:rPr>
          <w:rStyle w:val="CharStyle36"/>
        </w:rPr>
        <w:t>предусмотренное в разделе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36"/>
        </w:rPr>
        <w:t>проекта ТХ, Подрядчиком в рамках муниципального Контракта не поставляется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Представитель Заказчика пояснил, что поставка товаров, приведенных в жалобе Заявителя (диван, чайник, стол, стул, фен и т.д.) не требуется, что отражено в аукционной документации, так как указанные товары будут приобретаться в рамках отдельной закупки.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Частью 3 ст. 6 5 Закона регламентировано, что любой участник электронного аукциона, зарегистрированный в единой информационной системе и аккредитованный на электронной площадке, вправе направить с использованием программно-аппаратных средств электронной площадки на адрес электронной площадки, на которой планируется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j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Оператором электронной площадки не зарегистрировано Запросов на разъяснение положений документации об аукционе по рассматриваемой закупке.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силу ч.9 ст. 105 Закона бремя доказывания доводов жалобы, при ее подаче и рассмотрении, возложено именно на Заявителя.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Заявитель в заседание Комиссии не явился, доказательств, обосновывающих доводы жалобы, не представил.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Комиссия пришла к выводу о необоснованности доводов жалобы Заявителя. I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Постановления Правительства Российской Федерации от 26.08.2013 №728, в соответствии со ст.ст.99, 106 Закона Комиссия Ростовского УФАС России</w:t>
      </w:r>
      <w:r>
        <w:br w:type="page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center"/>
        <w:spacing w:before="0" w:after="261" w:line="240" w:lineRule="exact"/>
        <w:ind w:left="36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360" w:right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жалобу Заявителя необоснованной.</w:t>
      </w:r>
    </w:p>
    <w:p>
      <w:pPr>
        <w:pStyle w:val="Style2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360" w:right="0"/>
        <w:sectPr>
          <w:type w:val="continuous"/>
          <w:pgSz w:w="16838" w:h="23810"/>
          <w:pgMar w:top="3800" w:left="3319" w:right="3319" w:bottom="3973" w:header="0" w:footer="3" w:gutter="144"/>
          <w:rtlGutter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обеспечить Заказчику, аукционной комиссии Заказчика возможность совершения дальнейших действий, предусмотренных Законом, по аукциону.</w:t>
      </w: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framePr w:w="2013" w:h="1454" w:wrap="around" w:vAnchor="text" w:hAnchor="margin" w:x="7991" w:y="15"/>
        <w:widowControl w:val="0"/>
        <w:keepNext w:val="0"/>
        <w:keepLines w:val="0"/>
        <w:shd w:val="clear" w:color="auto" w:fill="auto"/>
        <w:bidi w:val="0"/>
        <w:jc w:val="right"/>
        <w:spacing w:before="0" w:after="922" w:line="220" w:lineRule="exact"/>
        <w:ind w:left="0" w:right="40" w:firstLine="0"/>
      </w:pPr>
      <w:r>
        <w:rPr>
          <w:rStyle w:val="CharStyle29"/>
        </w:rPr>
        <w:t>в судебном</w:t>
      </w:r>
    </w:p>
    <w:p>
      <w:pPr>
        <w:pStyle w:val="Style21"/>
        <w:framePr w:w="2013" w:h="1454" w:wrap="around" w:vAnchor="text" w:hAnchor="margin" w:x="7991" w:y="15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40" w:firstLine="0"/>
      </w:pPr>
      <w:r>
        <w:rPr>
          <w:rStyle w:val="CharStyle29"/>
        </w:rPr>
        <w:t>М.А. Благодарев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586" w:line="298" w:lineRule="exact"/>
        <w:ind w:left="0" w:right="38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ч.9 ст. 106 Закона решение может быть порядке в течение трех месяцев со дня его принятия.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  <w:sectPr>
          <w:type w:val="continuous"/>
          <w:pgSz w:w="16838" w:h="23810"/>
          <w:pgMar w:top="4892" w:left="3324" w:right="5902" w:bottom="50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widowControl w:val="0"/>
        <w:spacing w:line="143" w:lineRule="exact"/>
        <w:rPr>
          <w:sz w:val="11"/>
          <w:szCs w:val="11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21"/>
        <w:framePr w:w="1974" w:h="231" w:wrap="around" w:hAnchor="margin" w:x="-8586" w:y="459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rStyle w:val="CharStyle29"/>
        </w:rPr>
        <w:t>Члены комиссии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right"/>
        <w:spacing w:before="0" w:after="0" w:line="902" w:lineRule="exact"/>
        <w:ind w:left="0" w:right="300" w:firstLine="0"/>
        <w:sectPr>
          <w:type w:val="continuous"/>
          <w:pgSz w:w="16838" w:h="23810"/>
          <w:pgMar w:top="4892" w:left="11887" w:right="3271" w:bottom="502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Т.С. Акопян Р.Н. Рыбин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8" w:after="6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40"/>
        <w:widowControl w:val="0"/>
        <w:keepNext w:val="0"/>
        <w:keepLines w:val="0"/>
        <w:shd w:val="clear" w:color="auto" w:fill="auto"/>
        <w:bidi w:val="0"/>
        <w:jc w:val="left"/>
        <w:spacing w:before="0" w:after="18"/>
        <w:ind w:left="0" w:right="5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Рыбин Р.Н. </w:t>
      </w:r>
      <w:r>
        <w:fldChar w:fldCharType="begin"/>
      </w:r>
      <w:r>
        <w:rPr>
          <w:color w:val="000000"/>
        </w:rPr>
        <w:instrText> HYPERLINK "mailto:to61-rybin@fas.gov.ru"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to61-rybin@fas.gov.ru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тел. (863)240-86-88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6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§!</w:t>
      </w:r>
    </w:p>
    <w:sectPr>
      <w:type w:val="continuous"/>
      <w:pgSz w:w="16838" w:h="23810"/>
      <w:pgMar w:top="4892" w:left="3295" w:right="11527" w:bottom="502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3"/>
    </w:rPr>
  </w:style>
  <w:style w:type="character" w:customStyle="1" w:styleId="CharStyle5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">
    <w:name w:val="Основной текст (3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12"/>
      <w:szCs w:val="12"/>
      <w:rFonts w:ascii="Calibri" w:eastAsia="Calibri" w:hAnsi="Calibri" w:cs="Calibri"/>
    </w:rPr>
  </w:style>
  <w:style w:type="character" w:customStyle="1" w:styleId="CharStyle8">
    <w:name w:val="Основной текст (3) + Times New Roman,4 pt,Курсив,Интервал -1 pt"/>
    <w:basedOn w:val="CharStyle7"/>
    <w:rPr>
      <w:lang w:val="ru-RU" w:eastAsia="ru-RU" w:bidi="ru-RU"/>
      <w:i/>
      <w:iCs/>
      <w:sz w:val="8"/>
      <w:szCs w:val="8"/>
      <w:rFonts w:ascii="Times New Roman" w:eastAsia="Times New Roman" w:hAnsi="Times New Roman" w:cs="Times New Roman"/>
      <w:w w:val="100"/>
      <w:spacing w:val="-2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3">
    <w:name w:val="Основной текст (5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5">
    <w:name w:val="Заголовок №3_"/>
    <w:basedOn w:val="DefaultParagraphFont"/>
    <w:link w:val="Style14"/>
    <w:rPr>
      <w:b w:val="0"/>
      <w:bCs w:val="0"/>
      <w:i/>
      <w:iCs/>
      <w:u w:val="none"/>
      <w:strike w:val="0"/>
      <w:smallCaps w:val="0"/>
      <w:sz w:val="32"/>
      <w:szCs w:val="32"/>
      <w:rFonts w:ascii="Calibri" w:eastAsia="Calibri" w:hAnsi="Calibri" w:cs="Calibri"/>
    </w:rPr>
  </w:style>
  <w:style w:type="character" w:customStyle="1" w:styleId="CharStyle16">
    <w:name w:val="Заголовок №3"/>
    <w:basedOn w:val="CharStyle1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7">
    <w:name w:val="Заголовок №3 + Times New Roman,Не курсив"/>
    <w:basedOn w:val="CharStyle15"/>
    <w:rPr>
      <w:lang w:val="ru-RU" w:eastAsia="ru-RU" w:bidi="ru-RU"/>
      <w:i/>
      <w:iCs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18">
    <w:name w:val="Заголовок №3 + Интервал -2 pt"/>
    <w:basedOn w:val="CharStyle15"/>
    <w:rPr>
      <w:lang w:val="ru-RU" w:eastAsia="ru-RU" w:bidi="ru-RU"/>
      <w:w w:val="100"/>
      <w:spacing w:val="-40"/>
      <w:color w:val="000000"/>
      <w:position w:val="0"/>
    </w:rPr>
  </w:style>
  <w:style w:type="character" w:customStyle="1" w:styleId="CharStyle20">
    <w:name w:val="Основной текст (6)_"/>
    <w:basedOn w:val="DefaultParagraphFont"/>
    <w:link w:val="Style19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Основной текст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 + 10 pt,Интервал 2 pt"/>
    <w:basedOn w:val="CharStyle22"/>
    <w:rPr>
      <w:lang w:val="ru-RU" w:eastAsia="ru-RU" w:bidi="ru-RU"/>
      <w:sz w:val="20"/>
      <w:szCs w:val="20"/>
      <w:w w:val="100"/>
      <w:spacing w:val="50"/>
      <w:color w:val="000000"/>
      <w:position w:val="0"/>
    </w:rPr>
  </w:style>
  <w:style w:type="character" w:customStyle="1" w:styleId="CharStyle24">
    <w:name w:val="Основной текст + 10 pt,Курсив"/>
    <w:basedOn w:val="CharStyle22"/>
    <w:rPr>
      <w:lang w:val="ru-RU" w:eastAsia="ru-RU" w:bidi="ru-RU"/>
      <w:i/>
      <w:iCs/>
      <w:sz w:val="20"/>
      <w:szCs w:val="20"/>
      <w:w w:val="100"/>
      <w:spacing w:val="0"/>
      <w:color w:val="000000"/>
      <w:position w:val="0"/>
    </w:rPr>
  </w:style>
  <w:style w:type="character" w:customStyle="1" w:styleId="CharStyle25">
    <w:name w:val="Основной текст (5) + 10 pt"/>
    <w:basedOn w:val="CharStyle13"/>
    <w:rPr>
      <w:lang w:val="ru-RU" w:eastAsia="ru-RU" w:bidi="ru-RU"/>
      <w:sz w:val="20"/>
      <w:szCs w:val="20"/>
      <w:w w:val="100"/>
      <w:spacing w:val="0"/>
      <w:color w:val="000000"/>
      <w:position w:val="0"/>
    </w:rPr>
  </w:style>
  <w:style w:type="character" w:customStyle="1" w:styleId="CharStyle27">
    <w:name w:val="Основной текст (7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8">
    <w:name w:val="Основной текст (6) + Не полужирный"/>
    <w:basedOn w:val="CharStyle20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29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0">
    <w:name w:val="Основной текст + 4 pt,Курсив"/>
    <w:basedOn w:val="CharStyle22"/>
    <w:rPr>
      <w:lang w:val="ru-RU" w:eastAsia="ru-RU" w:bidi="ru-RU"/>
      <w:i/>
      <w:iCs/>
      <w:sz w:val="8"/>
      <w:szCs w:val="8"/>
      <w:w w:val="100"/>
      <w:spacing w:val="0"/>
      <w:color w:val="000000"/>
      <w:position w:val="0"/>
    </w:rPr>
  </w:style>
  <w:style w:type="character" w:customStyle="1" w:styleId="CharStyle32">
    <w:name w:val="Заголовок №2_"/>
    <w:basedOn w:val="DefaultParagraphFont"/>
    <w:link w:val="Style31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-10"/>
    </w:rPr>
  </w:style>
  <w:style w:type="character" w:customStyle="1" w:styleId="CharStyle34">
    <w:name w:val="Заголовок №1_"/>
    <w:basedOn w:val="DefaultParagraphFont"/>
    <w:link w:val="Style33"/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character" w:customStyle="1" w:styleId="CharStyle35">
    <w:name w:val="Заголовок №1 + Интервал 3 pt"/>
    <w:basedOn w:val="CharStyle34"/>
    <w:rPr>
      <w:lang w:val="en-US" w:eastAsia="en-US" w:bidi="en-US"/>
      <w:w w:val="100"/>
      <w:spacing w:val="60"/>
      <w:color w:val="000000"/>
      <w:position w:val="0"/>
    </w:rPr>
  </w:style>
  <w:style w:type="character" w:customStyle="1" w:styleId="CharStyle36">
    <w:name w:val="Основной текст"/>
    <w:basedOn w:val="CharStyle22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38">
    <w:name w:val="Основной текст (8)_"/>
    <w:basedOn w:val="DefaultParagraphFont"/>
    <w:link w:val="Style37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39">
    <w:name w:val="Основной текст (8) + Не полужирный,Курсив"/>
    <w:basedOn w:val="CharStyle38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41">
    <w:name w:val="Основной текст (9)_"/>
    <w:basedOn w:val="DefaultParagraphFont"/>
    <w:link w:val="Style40"/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3">
    <w:name w:val="Основной текст (2)"/>
    <w:basedOn w:val="Normal"/>
    <w:link w:val="CharStyle5"/>
    <w:pPr>
      <w:widowControl w:val="0"/>
      <w:shd w:val="clear" w:color="auto" w:fill="FFFFFF"/>
      <w:jc w:val="center"/>
      <w:spacing w:before="420" w:line="221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Calibri" w:eastAsia="Calibri" w:hAnsi="Calibri" w:cs="Calibri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after="120" w:line="264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2">
    <w:name w:val="Основной текст (5)"/>
    <w:basedOn w:val="Normal"/>
    <w:link w:val="CharStyle13"/>
    <w:pPr>
      <w:widowControl w:val="0"/>
      <w:shd w:val="clear" w:color="auto" w:fill="FFFFFF"/>
      <w:spacing w:before="120" w:after="300" w:line="18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FFFFFF"/>
      <w:outlineLvl w:val="2"/>
      <w:spacing w:before="300" w:after="300" w:line="0" w:lineRule="exact"/>
    </w:pPr>
    <w:rPr>
      <w:b w:val="0"/>
      <w:bCs w:val="0"/>
      <w:i/>
      <w:iCs/>
      <w:u w:val="none"/>
      <w:strike w:val="0"/>
      <w:smallCaps w:val="0"/>
      <w:sz w:val="32"/>
      <w:szCs w:val="32"/>
      <w:rFonts w:ascii="Calibri" w:eastAsia="Calibri" w:hAnsi="Calibri" w:cs="Calibri"/>
    </w:rPr>
  </w:style>
  <w:style w:type="paragraph" w:customStyle="1" w:styleId="Style19">
    <w:name w:val="Основной текст (6)"/>
    <w:basedOn w:val="Normal"/>
    <w:link w:val="CharStyle20"/>
    <w:pPr>
      <w:widowControl w:val="0"/>
      <w:shd w:val="clear" w:color="auto" w:fill="FFFFFF"/>
      <w:spacing w:line="245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1">
    <w:name w:val="Основной текст"/>
    <w:basedOn w:val="Normal"/>
    <w:link w:val="CharStyle22"/>
    <w:pPr>
      <w:widowControl w:val="0"/>
      <w:shd w:val="clear" w:color="auto" w:fill="FFFFFF"/>
      <w:spacing w:line="245" w:lineRule="exact"/>
      <w:ind w:hanging="340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6">
    <w:name w:val="Основной текст (7)"/>
    <w:basedOn w:val="Normal"/>
    <w:link w:val="CharStyle2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1">
    <w:name w:val="Заголовок №2"/>
    <w:basedOn w:val="Normal"/>
    <w:link w:val="CharStyle32"/>
    <w:pPr>
      <w:widowControl w:val="0"/>
      <w:shd w:val="clear" w:color="auto" w:fill="FFFFFF"/>
      <w:jc w:val="right"/>
      <w:outlineLvl w:val="1"/>
      <w:spacing w:before="54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spacing w:val="-10"/>
    </w:rPr>
  </w:style>
  <w:style w:type="paragraph" w:customStyle="1" w:styleId="Style33">
    <w:name w:val="Заголовок №1"/>
    <w:basedOn w:val="Normal"/>
    <w:link w:val="CharStyle34"/>
    <w:pPr>
      <w:widowControl w:val="0"/>
      <w:shd w:val="clear" w:color="auto" w:fill="FFFFFF"/>
      <w:jc w:val="both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38"/>
      <w:szCs w:val="38"/>
      <w:rFonts w:ascii="Times New Roman" w:eastAsia="Times New Roman" w:hAnsi="Times New Roman" w:cs="Times New Roman"/>
    </w:rPr>
  </w:style>
  <w:style w:type="paragraph" w:customStyle="1" w:styleId="Style37">
    <w:name w:val="Основной текст (8)"/>
    <w:basedOn w:val="Normal"/>
    <w:link w:val="CharStyle38"/>
    <w:pPr>
      <w:widowControl w:val="0"/>
      <w:shd w:val="clear" w:color="auto" w:fill="FFFFFF"/>
      <w:jc w:val="both"/>
      <w:spacing w:line="0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40">
    <w:name w:val="Основной текст (9)"/>
    <w:basedOn w:val="Normal"/>
    <w:link w:val="CharStyle41"/>
    <w:pPr>
      <w:widowControl w:val="0"/>
      <w:shd w:val="clear" w:color="auto" w:fill="FFFFFF"/>
      <w:spacing w:after="60" w:line="187" w:lineRule="exact"/>
    </w:pPr>
    <w:rPr>
      <w:b w:val="0"/>
      <w:bCs w:val="0"/>
      <w:i/>
      <w:iCs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