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39" w:h="3324" w:wrap="around" w:vAnchor="text" w:hAnchor="margin" w:x="-335" w:y="65"/>
        <w:widowControl w:val="0"/>
        <w:keepNext w:val="0"/>
        <w:keepLines w:val="0"/>
        <w:shd w:val="clear" w:color="auto" w:fill="auto"/>
        <w:bidi w:val="0"/>
        <w:spacing w:before="0" w:after="20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framePr w:w="4139" w:h="3324" w:wrap="around" w:vAnchor="text" w:hAnchor="margin" w:x="-335" w:y="6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8"/>
          <w:b/>
          <w:bCs/>
          <w:spacing w:val="0"/>
        </w:rPr>
        <w:t>УПРАВЛЕНИЕ</w:t>
      </w:r>
    </w:p>
    <w:p>
      <w:pPr>
        <w:pStyle w:val="Style3"/>
        <w:framePr w:w="4139" w:h="3324" w:wrap="around" w:vAnchor="text" w:hAnchor="margin" w:x="-335" w:y="65"/>
        <w:widowControl w:val="0"/>
        <w:keepNext w:val="0"/>
        <w:keepLines w:val="0"/>
        <w:shd w:val="clear" w:color="auto" w:fill="auto"/>
        <w:bidi w:val="0"/>
        <w:spacing w:before="0" w:after="91" w:line="250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Волгоградской области</w:t>
      </w:r>
    </w:p>
    <w:p>
      <w:pPr>
        <w:pStyle w:val="Style9"/>
        <w:framePr w:w="4139" w:h="3324" w:wrap="around" w:vAnchor="text" w:hAnchor="margin" w:x="-335" w:y="65"/>
        <w:widowControl w:val="0"/>
        <w:keepNext w:val="0"/>
        <w:keepLines w:val="0"/>
        <w:shd w:val="clear" w:color="auto" w:fill="auto"/>
        <w:bidi w:val="0"/>
        <w:spacing w:before="0" w:after="79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24-22-65.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1"/>
        <w:framePr w:w="4139" w:h="3324" w:wrap="around" w:vAnchor="text" w:hAnchor="margin" w:x="-335" w:y="65"/>
        <w:tabs>
          <w:tab w:leader="none" w:pos="2021" w:val="center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300" w:right="1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«Салюс» ул. Широкая, д. 1, оф. 208,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130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Кулаковский промузел, Приволжский р-н, Астраханская обл., 416474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LLC S alus @gmail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com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4" w:line="302" w:lineRule="exact"/>
        <w:ind w:left="1300" w:right="1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ГУЗ «Поликлиника № 2» проспект Металлургов, д. 8, г. Волгоград, 400007 </w:t>
      </w:r>
      <w:r>
        <w:fldChar w:fldCharType="begin"/>
      </w:r>
      <w:r>
        <w:rPr>
          <w:color w:val="000000"/>
        </w:rPr>
        <w:instrText> HYPERLINK "mailto:p2@vomiac.rn"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p2@vomiac.rn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100" w:right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Комитету по регулированию контрактной системы в сфере закупок Волгоградской области ул. Новороссийская, 15, г.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goszakaz@volganet.ru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"mailto:zayavki34@volganet.ru"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zayavki34@volganet.ru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476"/>
        <w:ind w:left="5100" w:right="1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«Электронные торговые системы» ул. Тестовская, д. 10, этаж 13, г. Москва, 123317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3"/>
        <w:tabs>
          <w:tab w:leader="none" w:pos="72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  <w:tab/>
        <w:t>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74" w:line="302" w:lineRule="exact"/>
        <w:ind w:left="3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17-02/03-465</w:t>
      </w:r>
    </w:p>
    <w:p>
      <w:pPr>
        <w:pStyle w:val="Style13"/>
        <w:tabs>
          <w:tab w:leader="none" w:pos="8377" w:val="center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81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ноября 2017 года</w:t>
        <w:tab/>
        <w:t>г.</w:t>
        <w:tab/>
        <w:t>Волгоград</w:t>
      </w:r>
    </w:p>
    <w:p>
      <w:pPr>
        <w:pStyle w:val="Style13"/>
        <w:tabs>
          <w:tab w:leader="none" w:pos="2465" w:val="right"/>
          <w:tab w:leader="none" w:pos="5571" w:val="left"/>
          <w:tab w:leader="none" w:pos="8609" w:val="center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</w:t>
        <w:tab/>
        <w:t>Управления Федеральной</w:t>
        <w:tab/>
        <w:t>антимонопольной</w:t>
        <w:tab/>
        <w:t>службы</w:t>
        <w:tab/>
        <w:t>по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7"/>
        <w:tabs>
          <w:tab w:leader="none" w:pos="2465" w:val="right"/>
          <w:tab w:leader="none" w:pos="5612" w:val="left"/>
          <w:tab w:leader="none" w:pos="5439" w:val="right"/>
          <w:tab w:leader="none" w:pos="5569" w:val="left"/>
          <w:tab w:leader="none" w:pos="8609" w:val="center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0" w:firstLine="70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рекламы;</w:t>
      </w:r>
    </w:p>
    <w:p>
      <w:pPr>
        <w:pStyle w:val="Style17"/>
        <w:tabs>
          <w:tab w:leader="none" w:pos="2465" w:val="right"/>
          <w:tab w:leader="none" w:pos="4345" w:val="right"/>
          <w:tab w:leader="none" w:pos="5444" w:val="right"/>
          <w:tab w:leader="none" w:pos="5617" w:val="left"/>
          <w:tab w:leader="none" w:pos="8609" w:val="center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Кострюкова И.Ю. - член Комиссии, главный специалист-эксперт отдела 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рекламы;</w:t>
      </w:r>
    </w:p>
    <w:p>
      <w:pPr>
        <w:pStyle w:val="Style17"/>
        <w:tabs>
          <w:tab w:leader="none" w:pos="2465" w:val="right"/>
          <w:tab w:leader="none" w:pos="4345" w:val="right"/>
          <w:tab w:leader="none" w:pos="5444" w:val="right"/>
          <w:tab w:leader="none" w:pos="5622" w:val="left"/>
          <w:tab w:leader="none" w:pos="8609" w:val="center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Дубина Ж.А. - член Комиссии, ведущий специалист-эксперт отдела государственных</w:t>
        <w:tab/>
        <w:t>и</w:t>
        <w:tab/>
        <w:t>муниципальных</w:t>
        <w:tab/>
        <w:t>закупок,</w:t>
        <w:tab/>
        <w:t>недобросовестной</w:t>
        <w:tab/>
        <w:t>конкуренции</w:t>
        <w:tab/>
        <w:t>и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рекламы;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участием: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427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Саврасовой Е.Ю. - представителя ЕУЗ «Поликлиника № 2» по доверенности от 09.11.2017;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1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005812</w:t>
      </w:r>
      <w:bookmarkEnd w:id="0"/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Недохлебова В.В. - представителя комитета по регулированию контрактной системы в сфере закупок Волгоградской области по доверенности от 22 09 2017 № 50;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материалы дела № 17-02/03-465 по жалобе ООО «Салюс» (вх. № 10365 от 07.11.2017) на положения документации при проведении аукциона в электронной форме «Поставка изделий медицинского назначения» (номер извещения 0129200005317003620),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9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Волгоградское УФАС России 07.11.2017 поступила жалоба ООО «Салюс» вх. № 10365 на положения документации при проведении аукциона в электронной форме «Поставка изделий медицинского назначения» (номер извещения 0129200005317003620).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представители ГУЗ «Поликлиника № 2» (далее - Заказчик), комитета по регулированию контрактной системы в сфере закупок Волгоградской области (далее - Уполномоченный орган) возражали против заявленных требований, в удовлетворении жалобы просили отказать.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 и проведя внеплановую проверку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Закона о контрактной системе), Комиссия Управления пришла к следующим выводам.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27.10.2017 Уполномоченным органом для нужд заказчика публично объявлено о проведении аукциона в электронной форме «Поставка изделий медицинского назначения» (номер извещения 0129200005317003620), начальная (максимальная) цена контракта (далее - НМЦК) - 1202339,60 рублей, посредством размещения извещения о проведении указанного аукциона в электронной форме на официальном сайте единой информационной системы в сфере закупок.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на территории РФ отсутствуют медицинские изделия, соответствующие требованиям, установленным в п. 3 таблицы 1 раздела 3 аукционной документации «Техническое задание».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соответствии, с п. 1 с.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</w:t>
        <w:br w:type="page"/>
        <w:t>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3 таблицы 1 раздела 3 аукционной документации «Техническое задание» заказчику требуется фартук медицинский одноразовый со следующими характеристиками: «Фартук состоит из цельного полиэтилена с отверстием для головы и двумя завязками. Плотность не менее 35 мкм. Ширина не менее 800 мм. Длина не менее 1400 мм не более 1450 мм».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105 Закона о контрактной системе, в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не представлены допустимые доказательства, подтверждающие факт нарушения законодательства о контрактной системе положениями документации.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того, заявитель указывает, что на территории РФ отсутствуют медицинские одноразовые фартуки размером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80x140,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однако, с учетом положений аукционной документации участник может предложить к поставке медицинские изделия иного размера, но в пределах значений длины (не менее 1400 мм не более 1450 мм) и ширины (не менее 800 мм), установленных в разделе 3 аукционной документации «Техническое задание».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пояснений заказчика следует, что требованиям, установленным в п. 3 таблицы 1 раздела 3 аукционной документации «Техническое задание» соответствуют медицинские изделия нескольких производителей, что подтверждается регистрационными удостоверениями Росздравнадзора от 27.04.2016 № РЗН 2016/3883, от 06.03.2013 № 2013/387, 05.04.2016 № РЗН 2016/3901.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Таюке заказчик на заседании комиссии пояснил, что на участие в электронном аукционе (номер извещения 0129200005317003620) подано 13 заявок.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не установила в действиях Заказчика нарушений положений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жалоба ООО «Салюс» на положения документации при проведении аукциона в электронной форме «Поставка изделий медицинского назначения» (номер извещения 0129200005317003620) является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проведения внеплановой проверки при проведении закупки Комиссией Управления нарушений не выявлено.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 ’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870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«Салюс» на положения документации при проведении аукциона в электронной форме «Поставка изделий медицинского назначения» (номер извещения 0129200005317003620) необоснованной.</w:t>
      </w:r>
    </w:p>
    <w:p>
      <w:pPr>
        <w:pStyle w:val="Style13"/>
        <w:framePr w:h="300" w:wrap="around" w:vAnchor="text" w:hAnchor="margin" w:x="6695" w:y="10"/>
        <w:tabs>
          <w:tab w:leader="none" w:pos="12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0" w:lineRule="exact"/>
        <w:ind w:left="100" w:right="0" w:firstLine="0"/>
      </w:pPr>
      <w:r>
        <w:rPr>
          <w:rStyle w:val="CharStyle15"/>
        </w:rPr>
        <w:t>/</w:t>
      </w:r>
      <w:r>
        <w:rPr>
          <w:rStyle w:val="CharStyle14"/>
          <w:spacing w:val="0"/>
        </w:rPr>
        <w:tab/>
        <w:t>С.В. Моисеев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92" w:line="26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2178"/>
        <w:ind w:left="80" w:right="2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80" w:right="4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И.Ю. Кострюкова </w:t>
      </w:r>
      <w:r>
        <w:rPr>
          <w:rStyle w:val="CharStyle23"/>
        </w:rPr>
        <w:t>(8442) 24 22 64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83" w:left="749" w:right="749" w:bottom="746" w:header="0" w:footer="3" w:gutter="32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 Exac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 Exact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3"/>
    </w:rPr>
  </w:style>
  <w:style w:type="character" w:customStyle="1" w:styleId="CharStyle8">
    <w:name w:val="Основной текст (3) Exact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"/>
    </w:rPr>
  </w:style>
  <w:style w:type="character" w:customStyle="1" w:styleId="CharStyle12">
    <w:name w:val="Основной текст (5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4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15">
    <w:name w:val="Основной текст + 15 pt,Курсив,Интервал 0 pt Exact"/>
    <w:basedOn w:val="CharStyle16"/>
    <w:rPr>
      <w:i/>
      <w:iCs/>
      <w:sz w:val="30"/>
      <w:szCs w:val="30"/>
    </w:rPr>
  </w:style>
  <w:style w:type="character" w:customStyle="1" w:styleId="CharStyle16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8">
    <w:name w:val="Оглавление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34"/>
      <w:szCs w:val="34"/>
      <w:rFonts w:ascii="Century Gothic" w:eastAsia="Century Gothic" w:hAnsi="Century Gothic" w:cs="Century Gothic"/>
    </w:rPr>
  </w:style>
  <w:style w:type="character" w:customStyle="1" w:styleId="CharStyle22">
    <w:name w:val="Основной текст (6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3">
    <w:name w:val="Основной текст (6) + 8,5 pt"/>
    <w:basedOn w:val="CharStyle22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3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780" w:line="21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both"/>
      <w:spacing w:before="78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4"/>
    </w:rPr>
  </w:style>
  <w:style w:type="paragraph" w:customStyle="1" w:styleId="Style13">
    <w:name w:val="Основной текст"/>
    <w:basedOn w:val="Normal"/>
    <w:link w:val="CharStyle16"/>
    <w:pPr>
      <w:widowControl w:val="0"/>
      <w:shd w:val="clear" w:color="auto" w:fill="FFFFFF"/>
      <w:spacing w:line="298" w:lineRule="exact"/>
      <w:ind w:hanging="380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Оглавление"/>
    <w:basedOn w:val="Normal"/>
    <w:link w:val="CharStyle18"/>
    <w:pPr>
      <w:widowControl w:val="0"/>
      <w:shd w:val="clear" w:color="auto" w:fill="FFFFFF"/>
      <w:spacing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before="48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Century Gothic" w:eastAsia="Century Gothic" w:hAnsi="Century Gothic" w:cs="Century Gothic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before="1212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