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89" w:wrap="around" w:vAnchor="text" w:hAnchor="margin" w:x="2284" w:y="4189"/>
        <w:widowControl w:val="0"/>
        <w:keepNext w:val="0"/>
        <w:keepLines w:val="0"/>
        <w:shd w:val="clear" w:color="auto" w:fill="auto"/>
        <w:bidi w:val="0"/>
        <w:jc w:val="left"/>
        <w:spacing w:before="0" w:after="0" w:line="190" w:lineRule="exact"/>
        <w:ind w:left="100" w:right="0" w:firstLine="0"/>
      </w:pPr>
      <w:r>
        <w:rPr>
          <w:rStyle w:val="CharStyle4"/>
          <w:b/>
          <w:bCs/>
          <w:spacing w:val="0"/>
        </w:rPr>
        <w:t>от</w:t>
      </w:r>
    </w:p>
    <w:p>
      <w:pPr>
        <w:widowControl w:val="0"/>
        <w:rPr>
          <w:sz w:val="2"/>
          <w:szCs w:val="2"/>
        </w:rPr>
      </w:pPr>
    </w:p>
    <w:p>
      <w:pPr>
        <w:pStyle w:val="Style3"/>
        <w:widowControl w:val="0"/>
        <w:keepNext w:val="0"/>
        <w:keepLines w:val="0"/>
        <w:shd w:val="clear" w:color="auto" w:fill="auto"/>
        <w:bidi w:val="0"/>
        <w:spacing w:before="327" w:after="82"/>
        <w:ind w:left="0" w:right="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182"/>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пр. Ворошиловский, 2/2, офис 403 г. Ростов-на-Д</w:t>
      </w:r>
      <w:r>
        <w:rPr>
          <w:rStyle w:val="CharStyle10"/>
          <w:b/>
          <w:bCs/>
        </w:rPr>
        <w:t>ону, 344006</w:t>
      </w:r>
    </w:p>
    <w:p>
      <w:pPr>
        <w:pStyle w:val="Style11"/>
        <w:widowControl w:val="0"/>
        <w:keepNext/>
        <w:keepLines/>
        <w:shd w:val="clear" w:color="auto" w:fill="auto"/>
        <w:bidi w:val="0"/>
        <w:jc w:val="left"/>
        <w:spacing w:before="0" w:after="216" w:line="520" w:lineRule="exact"/>
        <w:ind w:left="160" w:right="0" w:firstLine="0"/>
      </w:pPr>
      <w:bookmarkStart w:id="0" w:name="bookmark0"/>
      <w:r>
        <w:rPr>
          <w:lang w:val="ru-RU" w:eastAsia="ru-RU" w:bidi="ru-RU"/>
          <w:w w:val="100"/>
          <w:color w:val="000000"/>
          <w:position w:val="0"/>
        </w:rPr>
        <w:t>ю.ойда^:</w:t>
      </w:r>
      <w:r>
        <w:rPr>
          <w:rStyle w:val="CharStyle13"/>
          <w:vertAlign w:val="superscript"/>
          <w:b w:val="0"/>
          <w:bCs w:val="0"/>
        </w:rPr>
        <w:t>1</w:t>
      </w:r>
      <w:r>
        <w:rPr>
          <w:lang w:val="ru-RU" w:eastAsia="ru-RU" w:bidi="ru-RU"/>
          <w:w w:val="100"/>
          <w:color w:val="000000"/>
          <w:position w:val="0"/>
        </w:rPr>
        <w:t>зйг“-"-</w:t>
      </w:r>
      <w:r>
        <w:rPr>
          <w:lang w:val="ru-RU" w:eastAsia="ru-RU" w:bidi="ru-RU"/>
          <w:vertAlign w:val="superscript"/>
          <w:w w:val="100"/>
          <w:color w:val="000000"/>
          <w:position w:val="0"/>
        </w:rPr>
        <w:t>и</w:t>
      </w:r>
      <w:bookmarkEnd w:id="0"/>
    </w:p>
    <w:p>
      <w:pPr>
        <w:pStyle w:val="Style14"/>
        <w:widowControl w:val="0"/>
        <w:keepNext w:val="0"/>
        <w:keepLines w:val="0"/>
        <w:shd w:val="clear" w:color="auto" w:fill="auto"/>
        <w:bidi w:val="0"/>
        <w:spacing w:before="0" w:after="306" w:line="260" w:lineRule="exact"/>
        <w:ind w:left="0" w:right="0" w:firstLine="0"/>
      </w:pPr>
      <w:r>
        <w:rPr>
          <w:lang w:val="ru-RU" w:eastAsia="ru-RU" w:bidi="ru-RU"/>
          <w:w w:val="100"/>
          <w:spacing w:val="0"/>
          <w:color w:val="000000"/>
          <w:position w:val="0"/>
        </w:rPr>
        <w:t>№</w:t>
      </w:r>
    </w:p>
    <w:p>
      <w:pPr>
        <w:pStyle w:val="Style3"/>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На №</w:t>
      </w:r>
    </w:p>
    <w:p>
      <w:pPr>
        <w:pStyle w:val="Style16"/>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ООО «Ас-РемСтрой»</w:t>
      </w:r>
    </w:p>
    <w:p>
      <w:pPr>
        <w:pStyle w:val="Style16"/>
        <w:widowControl w:val="0"/>
        <w:keepNext w:val="0"/>
        <w:keepLines w:val="0"/>
        <w:shd w:val="clear" w:color="auto" w:fill="auto"/>
        <w:bidi w:val="0"/>
        <w:jc w:val="left"/>
        <w:spacing w:before="0" w:after="304" w:line="326" w:lineRule="exact"/>
        <w:ind w:left="20" w:right="0" w:firstLine="0"/>
      </w:pPr>
      <w:r>
        <w:rPr>
          <w:lang w:val="ru-RU" w:eastAsia="ru-RU" w:bidi="ru-RU"/>
          <w:w w:val="100"/>
          <w:spacing w:val="0"/>
          <w:color w:val="000000"/>
          <w:position w:val="0"/>
        </w:rPr>
        <w:t>(далее - Заявитель), 344018, г.Ростов-на- Дону, ул.Текучева, 238/73, оф.10</w:t>
      </w:r>
    </w:p>
    <w:p>
      <w:pPr>
        <w:pStyle w:val="Style16"/>
        <w:widowControl w:val="0"/>
        <w:keepNext w:val="0"/>
        <w:keepLines w:val="0"/>
        <w:shd w:val="clear" w:color="auto" w:fill="auto"/>
        <w:bidi w:val="0"/>
        <w:jc w:val="left"/>
        <w:spacing w:before="0" w:after="296" w:line="322" w:lineRule="exact"/>
        <w:ind w:left="20" w:right="0" w:firstLine="0"/>
      </w:pPr>
      <w:r>
        <w:rPr>
          <w:lang w:val="ru-RU" w:eastAsia="ru-RU" w:bidi="ru-RU"/>
          <w:w w:val="100"/>
          <w:spacing w:val="0"/>
          <w:color w:val="000000"/>
          <w:position w:val="0"/>
        </w:rPr>
        <w:t>Муниципальное казенное учреждение "Отдел Заказчика" Кашарского района Ростовской области (далее - Заказчик), 346200, Ростовская область, сл.Кашары, ул. Ленина, 58</w:t>
      </w:r>
    </w:p>
    <w:p>
      <w:pPr>
        <w:pStyle w:val="Style16"/>
        <w:widowControl w:val="0"/>
        <w:keepNext w:val="0"/>
        <w:keepLines w:val="0"/>
        <w:shd w:val="clear" w:color="auto" w:fill="auto"/>
        <w:bidi w:val="0"/>
        <w:jc w:val="left"/>
        <w:spacing w:before="0" w:after="0" w:line="326" w:lineRule="exact"/>
        <w:ind w:left="20" w:right="0" w:firstLine="0"/>
      </w:pPr>
      <w:r>
        <w:rPr>
          <w:lang w:val="ru-RU" w:eastAsia="ru-RU" w:bidi="ru-RU"/>
          <w:w w:val="100"/>
          <w:spacing w:val="0"/>
          <w:color w:val="000000"/>
          <w:position w:val="0"/>
        </w:rPr>
        <w:t>Правительство Ростовской области (далее 03- Привлеченное лицо),</w:t>
      </w:r>
    </w:p>
    <w:p>
      <w:pPr>
        <w:pStyle w:val="Style16"/>
        <w:widowControl w:val="0"/>
        <w:keepNext w:val="0"/>
        <w:keepLines w:val="0"/>
        <w:shd w:val="clear" w:color="auto" w:fill="auto"/>
        <w:bidi w:val="0"/>
        <w:jc w:val="left"/>
        <w:spacing w:before="0" w:after="0" w:line="326" w:lineRule="exact"/>
        <w:ind w:left="20" w:right="0" w:firstLine="0"/>
        <w:sectPr>
          <w:footnotePr>
            <w:pos w:val="pageBottom"/>
            <w:numFmt w:val="decimal"/>
            <w:numRestart w:val="continuous"/>
          </w:footnotePr>
          <w:type w:val="continuous"/>
          <w:pgSz w:w="11906" w:h="16838"/>
          <w:pgMar w:top="368" w:left="848" w:right="925" w:bottom="1544" w:header="0" w:footer="3" w:gutter="0"/>
          <w:rtlGutter w:val="0"/>
          <w:cols w:num="2" w:space="389"/>
          <w:noEndnote/>
          <w:docGrid w:linePitch="360"/>
        </w:sectPr>
      </w:pPr>
      <w:r>
        <w:rPr>
          <w:lang w:val="ru-RU" w:eastAsia="ru-RU" w:bidi="ru-RU"/>
          <w:w w:val="100"/>
          <w:spacing w:val="0"/>
          <w:color w:val="000000"/>
          <w:position w:val="0"/>
        </w:rPr>
        <w:t>344050, г.Ростов-на-Дону, ул.Социалистическая, 112</w:t>
      </w: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810" w:line="317" w:lineRule="exact"/>
        <w:ind w:left="5120" w:right="1320" w:firstLine="0"/>
      </w:pPr>
      <w:r>
        <w:rPr>
          <w:lang w:val="ru-RU" w:eastAsia="ru-RU" w:bidi="ru-RU"/>
          <w:w w:val="100"/>
          <w:spacing w:val="0"/>
          <w:color w:val="000000"/>
          <w:position w:val="0"/>
        </w:rPr>
        <w:t>АО «ЭТО», 123317, г. Москва, ул.Тестовская, 10, этаж 13 (далее - оператор)</w:t>
      </w:r>
    </w:p>
    <w:p>
      <w:pPr>
        <w:pStyle w:val="Style20"/>
        <w:widowControl w:val="0"/>
        <w:keepNext w:val="0"/>
        <w:keepLines w:val="0"/>
        <w:shd w:val="clear" w:color="auto" w:fill="auto"/>
        <w:bidi w:val="0"/>
        <w:spacing w:before="0" w:after="118" w:line="280" w:lineRule="exact"/>
        <w:ind w:left="0" w:right="0" w:firstLine="0"/>
      </w:pPr>
      <w:r>
        <w:rPr>
          <w:lang w:val="ru-RU" w:eastAsia="ru-RU" w:bidi="ru-RU"/>
          <w:w w:val="100"/>
          <w:spacing w:val="0"/>
          <w:color w:val="000000"/>
          <w:position w:val="0"/>
        </w:rPr>
        <w:t>РЕШЕНИЕ</w:t>
      </w:r>
    </w:p>
    <w:p>
      <w:pPr>
        <w:pStyle w:val="Style16"/>
        <w:numPr>
          <w:ilvl w:val="0"/>
          <w:numId w:val="1"/>
        </w:numPr>
        <w:tabs>
          <w:tab w:leader="none" w:pos="8050" w:val="right"/>
          <w:tab w:leader="none" w:pos="10022" w:val="right"/>
          <w:tab w:leader="none" w:pos="1397" w:val="left"/>
        </w:tabs>
        <w:widowControl w:val="0"/>
        <w:keepNext w:val="0"/>
        <w:keepLines w:val="0"/>
        <w:shd w:val="clear" w:color="auto" w:fill="auto"/>
        <w:bidi w:val="0"/>
        <w:jc w:val="both"/>
        <w:spacing w:before="0" w:after="133" w:line="260" w:lineRule="exact"/>
        <w:ind w:left="0" w:right="0" w:firstLine="0"/>
      </w:pPr>
      <w:r>
        <w:rPr>
          <w:lang w:val="ru-RU" w:eastAsia="ru-RU" w:bidi="ru-RU"/>
          <w:w w:val="100"/>
          <w:spacing w:val="0"/>
          <w:color w:val="000000"/>
          <w:position w:val="0"/>
        </w:rPr>
        <w:t>г.</w:t>
        <w:tab/>
        <w:t>гор.</w:t>
        <w:tab/>
        <w:t>Ростов-на-Дону</w:t>
      </w:r>
    </w:p>
    <w:p>
      <w:pPr>
        <w:pStyle w:val="Style16"/>
        <w:widowControl w:val="0"/>
        <w:keepNext w:val="0"/>
        <w:keepLines w:val="0"/>
        <w:shd w:val="clear" w:color="auto" w:fill="auto"/>
        <w:bidi w:val="0"/>
        <w:jc w:val="both"/>
        <w:spacing w:before="0" w:after="289" w:line="322" w:lineRule="exact"/>
        <w:ind w:left="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16"/>
        <w:tabs>
          <w:tab w:leader="none" w:pos="7709" w:val="left"/>
        </w:tabs>
        <w:widowControl w:val="0"/>
        <w:keepNext w:val="0"/>
        <w:keepLines w:val="0"/>
        <w:shd w:val="clear" w:color="auto" w:fill="auto"/>
        <w:bidi w:val="0"/>
        <w:jc w:val="both"/>
        <w:spacing w:before="0" w:after="357" w:line="260" w:lineRule="exact"/>
        <w:ind w:left="0" w:right="0" w:firstLine="0"/>
      </w:pPr>
      <w:r>
        <w:rPr>
          <w:lang w:val="ru-RU" w:eastAsia="ru-RU" w:bidi="ru-RU"/>
          <w:w w:val="100"/>
          <w:spacing w:val="0"/>
          <w:color w:val="000000"/>
          <w:position w:val="0"/>
        </w:rPr>
        <w:t>Председатель Комиссии:</w:t>
        <w:tab/>
        <w:t>Н.А. Кожемяко,</w:t>
      </w:r>
    </w:p>
    <w:p>
      <w:pPr>
        <w:pStyle w:val="Style16"/>
        <w:tabs>
          <w:tab w:leader="none" w:pos="7709" w:val="left"/>
        </w:tabs>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Члены Комиссии:</w:t>
        <w:tab/>
        <w:t>Т.С. Акопян</w:t>
      </w:r>
    </w:p>
    <w:p>
      <w:pPr>
        <w:pStyle w:val="Style16"/>
        <w:widowControl w:val="0"/>
        <w:keepNext w:val="0"/>
        <w:keepLines w:val="0"/>
        <w:shd w:val="clear" w:color="auto" w:fill="auto"/>
        <w:bidi w:val="0"/>
        <w:jc w:val="left"/>
        <w:spacing w:before="0" w:after="313" w:line="260" w:lineRule="exact"/>
        <w:ind w:left="7800" w:right="0" w:firstLine="0"/>
      </w:pPr>
      <w:r>
        <w:rPr>
          <w:lang w:val="ru-RU" w:eastAsia="ru-RU" w:bidi="ru-RU"/>
          <w:w w:val="100"/>
          <w:spacing w:val="0"/>
          <w:color w:val="000000"/>
          <w:position w:val="0"/>
        </w:rPr>
        <w:t>В.В. Моргунов,</w:t>
      </w:r>
    </w:p>
    <w:p>
      <w:pPr>
        <w:pStyle w:val="Style18"/>
        <w:framePr w:h="320" w:wrap="notBeside" w:vAnchor="text" w:hAnchor="margin" w:x="8927" w:y="4382"/>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014933</w:t>
      </w:r>
    </w:p>
    <w:p>
      <w:pPr>
        <w:pStyle w:val="Style16"/>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рассмотрев дело № 061/06/67-1173/2019 по жалобе Заявителя о нарушении аукционной комиссией Заказчика при проведении электронного аукциона № 0358300213119000016 «Благоустройство территории земельного участка, расположенного по адресу: Ростовская область, Кашарский район, Кашарское сельское поселение, примерно в 800,0 метрах по направлению на северо-восток от ориентира здание Администрации Кашарского района» (далее - аукцион)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в присутствии представителя Заявителя (Кривошлыковой Е.В.), представителей Заказчика (Говорущенко А.А., Гетьман И.А., Ефремовой Е.И.), в отсутствии представителей Привлеченного лица,</w:t>
      </w:r>
      <w:r>
        <w:br w:type="page"/>
      </w:r>
    </w:p>
    <w:p>
      <w:pPr>
        <w:pStyle w:val="Style20"/>
        <w:widowControl w:val="0"/>
        <w:keepNext w:val="0"/>
        <w:keepLines w:val="0"/>
        <w:shd w:val="clear" w:color="auto" w:fill="auto"/>
        <w:bidi w:val="0"/>
        <w:spacing w:before="0" w:after="304" w:line="280" w:lineRule="exact"/>
        <w:ind w:left="20" w:right="0" w:firstLine="0"/>
      </w:pPr>
      <w:r>
        <w:rPr>
          <w:lang w:val="ru-RU" w:eastAsia="ru-RU" w:bidi="ru-RU"/>
          <w:w w:val="100"/>
          <w:spacing w:val="0"/>
          <w:color w:val="000000"/>
          <w:position w:val="0"/>
        </w:rPr>
        <w:t>УСТАНОВИЛА:</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Ростовское У ФАС России поступили жалоба Заявителя, в которой обжаловался отказ в допуске к участию в аукционе.</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Заказчик в возражениях на жалобу отрицал нарушения Закона при проведении аукциона, просил признать жалобы необоснованными.</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ч.ч.1, 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года №727/14, в ходе рассмотрения дела установлено следующее:</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Извещению о проведении электронного аукциона №0358300213119000016 от 11.06.2019 года:</w:t>
      </w:r>
    </w:p>
    <w:p>
      <w:pPr>
        <w:pStyle w:val="Style16"/>
        <w:numPr>
          <w:ilvl w:val="0"/>
          <w:numId w:val="3"/>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начальная (максимальная) цена контракта составила 44751700.00 руб.;</w:t>
      </w:r>
    </w:p>
    <w:p>
      <w:pPr>
        <w:pStyle w:val="Style16"/>
        <w:numPr>
          <w:ilvl w:val="0"/>
          <w:numId w:val="3"/>
        </w:numPr>
        <w:widowControl w:val="0"/>
        <w:keepNext w:val="0"/>
        <w:keepLines w:val="0"/>
        <w:shd w:val="clear" w:color="auto" w:fill="auto"/>
        <w:bidi w:val="0"/>
        <w:jc w:val="both"/>
        <w:spacing w:before="0" w:after="236" w:line="317" w:lineRule="exact"/>
        <w:ind w:left="20" w:right="20" w:firstLine="720"/>
      </w:pPr>
      <w:r>
        <w:rPr>
          <w:lang w:val="ru-RU" w:eastAsia="ru-RU" w:bidi="ru-RU"/>
          <w:w w:val="100"/>
          <w:spacing w:val="0"/>
          <w:color w:val="000000"/>
          <w:position w:val="0"/>
        </w:rPr>
        <w:t xml:space="preserve"> определены дата и время окончания срока подачи заявок на участие в аукционе — 27.06.2019 года в 08 часов 00 минут.</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Протоколу рассмотрения заявок на участие в аукционе №0358300213119000016 от 27.06.2019 года:</w:t>
      </w:r>
    </w:p>
    <w:p>
      <w:pPr>
        <w:pStyle w:val="Style16"/>
        <w:numPr>
          <w:ilvl w:val="0"/>
          <w:numId w:val="3"/>
        </w:numPr>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 xml:space="preserve"> на участие в аукционе подано 5 заявок под номерами: 1, 2, 3, 4, 5 (Заявитель);</w:t>
      </w:r>
    </w:p>
    <w:p>
      <w:pPr>
        <w:pStyle w:val="Style16"/>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участникам закупки, подавшим заявки №№ 1, 2, 5 (Заявитель), отказано в допуске к участию в аукционе;</w:t>
      </w:r>
    </w:p>
    <w:p>
      <w:pPr>
        <w:pStyle w:val="Style16"/>
        <w:numPr>
          <w:ilvl w:val="0"/>
          <w:numId w:val="3"/>
        </w:numPr>
        <w:widowControl w:val="0"/>
        <w:keepNext w:val="0"/>
        <w:keepLines w:val="0"/>
        <w:shd w:val="clear" w:color="auto" w:fill="auto"/>
        <w:bidi w:val="0"/>
        <w:jc w:val="both"/>
        <w:spacing w:before="0" w:after="240" w:line="322" w:lineRule="exact"/>
        <w:ind w:left="20" w:right="20" w:firstLine="720"/>
      </w:pPr>
      <w:r>
        <w:rPr>
          <w:lang w:val="ru-RU" w:eastAsia="ru-RU" w:bidi="ru-RU"/>
          <w:w w:val="100"/>
          <w:spacing w:val="0"/>
          <w:color w:val="000000"/>
          <w:position w:val="0"/>
        </w:rPr>
        <w:t xml:space="preserve"> участники закупки, подавшие заявки №№3, 4, допущены к участию в аукционе.</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ч.4 ст.67 Закона участник электронного аукциона не допускается к участию в нем в случае:</w:t>
      </w:r>
    </w:p>
    <w:p>
      <w:pPr>
        <w:pStyle w:val="Style16"/>
        <w:numPr>
          <w:ilvl w:val="0"/>
          <w:numId w:val="5"/>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6"/>
        <w:numPr>
          <w:ilvl w:val="0"/>
          <w:numId w:val="5"/>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ч.5 ст.67 Закона отказ в допуске к участию в электронном аукционе по основаниям, не предусмотренным частью 4 настоящей статьи, не допускается.</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п.2 ч.З ст.66 Закона первая часть заявки на участие в электронном аукционе должна содержать:</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2) при осуществлении закупки товара или закупки работы, услуги, для выполнения, оказания которых используется товар:</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pPr>
        <w:pStyle w:val="Style16"/>
        <w:widowControl w:val="0"/>
        <w:keepNext w:val="0"/>
        <w:keepLines w:val="0"/>
        <w:shd w:val="clear" w:color="auto" w:fill="auto"/>
        <w:bidi w:val="0"/>
        <w:jc w:val="both"/>
        <w:spacing w:before="0" w:after="240" w:line="322" w:lineRule="exact"/>
        <w:ind w:left="20" w:right="2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6"/>
        <w:widowControl w:val="0"/>
        <w:keepNext w:val="0"/>
        <w:keepLines w:val="0"/>
        <w:shd w:val="clear" w:color="auto" w:fill="auto"/>
        <w:bidi w:val="0"/>
        <w:jc w:val="both"/>
        <w:spacing w:before="0" w:after="289" w:line="322" w:lineRule="exact"/>
        <w:ind w:left="20" w:right="20" w:firstLine="720"/>
      </w:pPr>
      <w:r>
        <w:rPr>
          <w:lang w:val="ru-RU" w:eastAsia="ru-RU" w:bidi="ru-RU"/>
          <w:w w:val="100"/>
          <w:spacing w:val="0"/>
          <w:color w:val="000000"/>
          <w:position w:val="0"/>
        </w:rPr>
        <w:t>В Техническом задании документации об аукционе Заказчик, указал следующие требования по товару «брусья»: должны быть из хвойных пород (сосна/ель), шириной 100/125/150 мм, толщиной 100 мм, 125 мм, II сорта. Требуется соответствие ГОСТ 8486-86, ГОСТ 18288-87, ГОСТ 24454-80.</w:t>
      </w:r>
    </w:p>
    <w:p>
      <w:pPr>
        <w:pStyle w:val="Style16"/>
        <w:widowControl w:val="0"/>
        <w:keepNext w:val="0"/>
        <w:keepLines w:val="0"/>
        <w:shd w:val="clear" w:color="auto" w:fill="auto"/>
        <w:bidi w:val="0"/>
        <w:jc w:val="both"/>
        <w:spacing w:before="0" w:after="0" w:line="260" w:lineRule="exact"/>
        <w:ind w:left="20" w:right="0" w:firstLine="720"/>
      </w:pPr>
      <w:r>
        <w:rPr>
          <w:lang w:val="ru-RU" w:eastAsia="ru-RU" w:bidi="ru-RU"/>
          <w:w w:val="100"/>
          <w:spacing w:val="0"/>
          <w:color w:val="000000"/>
          <w:position w:val="0"/>
        </w:rPr>
        <w:t>В заявке Заявителя по данному товару сделано следующее предложение:</w:t>
      </w:r>
    </w:p>
    <w:p>
      <w:pPr>
        <w:pStyle w:val="Style16"/>
        <w:widowControl w:val="0"/>
        <w:keepNext w:val="0"/>
        <w:keepLines w:val="0"/>
        <w:shd w:val="clear" w:color="auto" w:fill="auto"/>
        <w:bidi w:val="0"/>
        <w:jc w:val="both"/>
        <w:spacing w:before="0" w:after="240" w:line="322" w:lineRule="exact"/>
        <w:ind w:left="20" w:right="20" w:firstLine="720"/>
      </w:pPr>
      <w:r>
        <w:rPr>
          <w:lang w:val="ru-RU" w:eastAsia="ru-RU" w:bidi="ru-RU"/>
          <w:w w:val="100"/>
          <w:spacing w:val="0"/>
          <w:color w:val="000000"/>
          <w:position w:val="0"/>
        </w:rPr>
        <w:t>из хвойных пород (сосна), шириной 100 мм, толщиной 100 мм, 125 мм, II сорта. Соответствие ГОСТ 8486-86, ГОСТ 18288-87, ГОСТ 24454-80.</w:t>
      </w:r>
    </w:p>
    <w:p>
      <w:pPr>
        <w:pStyle w:val="Style16"/>
        <w:widowControl w:val="0"/>
        <w:keepNext w:val="0"/>
        <w:keepLines w:val="0"/>
        <w:shd w:val="clear" w:color="auto" w:fill="auto"/>
        <w:bidi w:val="0"/>
        <w:jc w:val="both"/>
        <w:spacing w:before="0" w:after="240" w:line="322" w:lineRule="exact"/>
        <w:ind w:left="20" w:right="20" w:firstLine="720"/>
      </w:pPr>
      <w:r>
        <w:rPr>
          <w:lang w:val="ru-RU" w:eastAsia="ru-RU" w:bidi="ru-RU"/>
          <w:w w:val="100"/>
          <w:spacing w:val="0"/>
          <w:color w:val="000000"/>
          <w:position w:val="0"/>
        </w:rPr>
        <w:t xml:space="preserve">Однако, «ГОСТ 24454-80. Пиломатериалы хвойных пород. Размеры» (утв. Постановлением Госстандарта СССР от 10.11.1980 </w:t>
      </w:r>
      <w:r>
        <w:rPr>
          <w:lang w:val="en-US" w:eastAsia="en-US" w:bidi="en-US"/>
          <w:w w:val="100"/>
          <w:spacing w:val="0"/>
          <w:color w:val="000000"/>
          <w:position w:val="0"/>
        </w:rPr>
        <w:t xml:space="preserve">N </w:t>
      </w:r>
      <w:r>
        <w:rPr>
          <w:lang w:val="ru-RU" w:eastAsia="ru-RU" w:bidi="ru-RU"/>
          <w:w w:val="100"/>
          <w:spacing w:val="0"/>
          <w:color w:val="000000"/>
          <w:position w:val="0"/>
        </w:rPr>
        <w:t>5731) не предусматривает брусья шириной 100 мм при толщине 125 мм.</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Таким образом, Заявитель предоставил недостоверную информацию о размере брусьев.</w:t>
      </w:r>
    </w:p>
    <w:p>
      <w:pPr>
        <w:pStyle w:val="Style16"/>
        <w:widowControl w:val="0"/>
        <w:keepNext w:val="0"/>
        <w:keepLines w:val="0"/>
        <w:shd w:val="clear" w:color="auto" w:fill="auto"/>
        <w:bidi w:val="0"/>
        <w:jc w:val="both"/>
        <w:spacing w:before="0" w:after="236" w:line="322" w:lineRule="exact"/>
        <w:ind w:left="20" w:right="20" w:firstLine="720"/>
      </w:pPr>
      <w:r>
        <w:rPr>
          <w:lang w:val="ru-RU" w:eastAsia="ru-RU" w:bidi="ru-RU"/>
          <w:w w:val="100"/>
          <w:spacing w:val="0"/>
          <w:color w:val="000000"/>
          <w:position w:val="0"/>
        </w:rPr>
        <w:t>Следовательно, заявка Заявителя не соответствует требованиям документации об аукционе. Аукционная комиссия Заказчика, принимая решение об отказе данному участнику в допуске к участию в аукционе, действовала в соответствии с положениями ч.4 ст.67 Закона. Жалоба Заявителя является необоснованной.</w:t>
      </w:r>
    </w:p>
    <w:p>
      <w:pPr>
        <w:pStyle w:val="Style16"/>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В ходе рассмотрения дела установлено, что Инструкция по заполнению заявок имеет излишне сложный и запутанный характер, что создает препятствия для участника закупки при подготовке заявки для участия в аукционе.</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ч.1 ст.64 Закона документация об аукционе должна содержать наименование и описание объекта закупки и условия контракта в соответствии со статьей 33 Закона, а также требования к содержанию, составу заявки на участие в таком аукционе и инструкцию по ее заполнению.</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Частью 2 статьи 33 Закона предусмотрено,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Указание на то, что включение в документацию показателей должно осуществляться в соответствии с требованиями ч.1 ст. 33 Закона, означает, что показатели должны представлять собой функциональные, технические и качественные характеристики, эксплуатационные характеристики объекта закупки, устанавливаться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pPr>
        <w:pStyle w:val="Style16"/>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Через Инструкцию требования к характеристикам товаров, используемых при выполнении работ, Заказчиком поставлены в прямую зависимость от формы их изложения.</w:t>
      </w:r>
    </w:p>
    <w:p>
      <w:pPr>
        <w:pStyle w:val="Style16"/>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Так, например, в Инструкции Заказчик установил противоречивые требования к описанию в заявке показателей товаров, сопровождающихся определенными знаками, словами, символами:</w:t>
      </w:r>
    </w:p>
    <w:p>
      <w:pPr>
        <w:pStyle w:val="Style16"/>
        <w:numPr>
          <w:ilvl w:val="0"/>
          <w:numId w:val="3"/>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характеристики материала, разделенные между собой знаком «,» (запятая) - участником данные характеристики не должны быть конкретизированы, т.е. Заказчику необходим товар со всеми перечисленными характеристиками. Когда значения показателей разделены знаком «;», это означает, что Заказчику необходим материал (товар) со всеми приведенными подобным образом значениями показателей и участник закупки должен указать в заявке все значения показателей, приведенные подобным образом;</w:t>
      </w:r>
    </w:p>
    <w:p>
      <w:pPr>
        <w:pStyle w:val="Style16"/>
        <w:numPr>
          <w:ilvl w:val="0"/>
          <w:numId w:val="3"/>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в случае если согласно настоящей инструкции по заполнению заявок Заказчику требуются товары в различных вариантах исполнения, в таком случае участник должен указать конкретные значения показателей для каждого варианта исполнения товара в отдельности (за исключением случаев, когда разные варианты исполнения имеют одинаковые значения показателей);</w:t>
      </w:r>
    </w:p>
    <w:p>
      <w:pPr>
        <w:pStyle w:val="Style16"/>
        <w:numPr>
          <w:ilvl w:val="0"/>
          <w:numId w:val="3"/>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при указании конкретного показателя по Максимальному и/или минимальному значению показателей вида «до х» или «от х», где «х» - верхнее/ нижнее числовое значение, участник закупки должен указать конкретный показатель согласно настоящей инструкции по заполнению заявки, при этом крайние значения «х» включены в интервал при наличии слов «включительно», во всех иных случаях крайние значения «х» не включены в интервал;</w:t>
      </w:r>
    </w:p>
    <w:p>
      <w:pPr>
        <w:pStyle w:val="Style16"/>
        <w:numPr>
          <w:ilvl w:val="0"/>
          <w:numId w:val="3"/>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при указании конкретного показателя по значению показателей вида «менее х» или «более х», где «х» - верхнее/ нижнее числовое значение, участник закупки должен указать конкретный показатель, при этом крайние значения «х» не включены в интервал;</w:t>
      </w:r>
    </w:p>
    <w:p>
      <w:pPr>
        <w:pStyle w:val="Style16"/>
        <w:numPr>
          <w:ilvl w:val="0"/>
          <w:numId w:val="3"/>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в случае установления заказчиком требований к значениям показателей вида «х и более», участник в составе первой части заявки должен указать конкретные значения показателей, а именно </w:t>
      </w:r>
      <w:r>
        <w:rPr>
          <w:rStyle w:val="CharStyle22"/>
        </w:rPr>
        <w:t>значение «х» и значение «более х»</w:t>
      </w:r>
      <w:r>
        <w:rPr>
          <w:lang w:val="ru-RU" w:eastAsia="ru-RU" w:bidi="ru-RU"/>
          <w:w w:val="100"/>
          <w:spacing w:val="0"/>
          <w:color w:val="000000"/>
          <w:position w:val="0"/>
        </w:rPr>
        <w:t>, с указанием единицы измерения, соответствующей значению «х»;</w:t>
      </w:r>
    </w:p>
    <w:p>
      <w:pPr>
        <w:pStyle w:val="Style16"/>
        <w:numPr>
          <w:ilvl w:val="0"/>
          <w:numId w:val="3"/>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в случае использования знака «/», «\» - данные знаки означают «или», по данным значениям участнику необходимо сделать конкретное предложение, согласно настоящей инструкции по заполнению заявки (за исключением случаев, когда этот знак является составной частью обозначения единицы измерения или наименования, либо является математическим знаком дроби);</w:t>
      </w:r>
    </w:p>
    <w:p>
      <w:pPr>
        <w:pStyle w:val="Style16"/>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сочетание символов «и/или» разделяющих два значения показателя означает, что участник может предложить как оба значения, так и одно из них и участник при составлении первой части заявки должен: указать оба значения (соединенные союзом «и») или указать одно из значений;</w:t>
      </w:r>
    </w:p>
    <w:p>
      <w:pPr>
        <w:pStyle w:val="Style16"/>
        <w:numPr>
          <w:ilvl w:val="0"/>
          <w:numId w:val="3"/>
        </w:numPr>
        <w:widowControl w:val="0"/>
        <w:keepNext w:val="0"/>
        <w:keepLines w:val="0"/>
        <w:shd w:val="clear" w:color="auto" w:fill="auto"/>
        <w:bidi w:val="0"/>
        <w:jc w:val="both"/>
        <w:spacing w:before="0" w:after="304" w:line="322" w:lineRule="exact"/>
        <w:ind w:left="20" w:right="20" w:firstLine="720"/>
      </w:pPr>
      <w:r>
        <w:rPr>
          <w:lang w:val="ru-RU" w:eastAsia="ru-RU" w:bidi="ru-RU"/>
          <w:w w:val="100"/>
          <w:spacing w:val="0"/>
          <w:color w:val="000000"/>
          <w:position w:val="0"/>
        </w:rPr>
        <w:t xml:space="preserve"> значения показателей, заключенные в символы «(» и «)» подлежат указанию в первой части заявки, за исключением использования данных символов совместно с фразой «при наличии», «в случае использования», в данном случае фраза (при наличии), (в случае использования) не подлежит указанию в составе первой части заявки. В случае, если в символах «(» «)» заключено несколько значений показателей или множество значений, или установлена альтернативность значений, такие требования читать в соответствии с положениями настоящей инструкции.</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Из указанных положений Инструкции невозможно однозначно определить, что желает получить Заказчик. Требуя от участника недвусмысленных сведений, Заказчик сам создает двусмысленность, искажая законные терминологию и понятия.</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Приведенные выше положения Инструкции усложняют процесс подготовки заявки, поскольку устанавливают различные требования к изложению в заявке конкретных показателей числовых значений. Из указанных требований невозможно понять, какие именно значения будут соответствовать потребностям Заказчика.</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Фактически Инструкция используется Заказчиком для создания дополнительных сложностей участникам, поскольку требует от них разгадать потребность Заказчика в том или ином значении показателей.</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При этом, в документации имеется размещенное отдельным файлом Техническое задание, которое содержит требования к товарам, подлежащим указанию в составе заявки. С какой целью требования к товарам включены в состав Инструкции и нужно ли их указывать в заявке на участие в аукционе, из положений Инструкции и иных разделов документации, не ясно.</w:t>
      </w:r>
    </w:p>
    <w:p>
      <w:pPr>
        <w:pStyle w:val="Style16"/>
        <w:widowControl w:val="0"/>
        <w:keepNext w:val="0"/>
        <w:keepLines w:val="0"/>
        <w:shd w:val="clear" w:color="auto" w:fill="auto"/>
        <w:bidi w:val="0"/>
        <w:jc w:val="both"/>
        <w:spacing w:before="0" w:after="300" w:line="322" w:lineRule="exact"/>
        <w:ind w:left="20" w:right="20" w:firstLine="720"/>
      </w:pPr>
      <w:r>
        <w:rPr>
          <w:lang w:val="ru-RU" w:eastAsia="ru-RU" w:bidi="ru-RU"/>
          <w:w w:val="100"/>
          <w:spacing w:val="0"/>
          <w:color w:val="000000"/>
          <w:position w:val="0"/>
        </w:rPr>
        <w:t>Таким образом, Инструкция, сформированная Заказчиком, носит противоречивый и запутанный характер, не позволяет участникам определить, какие именно положения подлежат применению в том или ином случае при описании товара.</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Выявленные нарушения Закона, создают условия для указания участниками в заявках неверных характеристик и, соответственно, отклонения заявок аукционной комиссией.</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Использование усложненных документаций имеет своими последствиями не только вред, причиняемый бюджету в виде заключения контрактов по стартовым ценам, но также увеличение или срыв сроков поставки закупаемых товаров, сроков выполнения работ и оказания услуг, создает препятствия для полного и своевременного освоения бюджетных средств.</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У хозяйствующих субъектов формируется мнение о сложности, а порой и бесперспективности участия в процедурах закупки, и соответствующее снижение уровня конкуренции в данной сфере.</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правовой позиции, изложенной в Постановлении Арбитражного суда Северо-Кавказского округа от 20.04.2017 по делу № А53-19097/2016, включение инструкции по заполнению заявок в состав документации об аукционе должно осуществляться с целью создания дополнительных условий для более четкого и ясного понимания участниками потребностей заказчика в работах, услугах, товарах. Не допускается, посредством составления инструкции по заполнению заявок и применения ее при разработке требований к материалам, создавать необоснованные препятствия для заполнения заявок участникам закупок, тем самым ограничивая круг участников закупок. При этом, оценка содержания инструкции по заполнению заявок осуществляется совместно с оценкой содержания требований к товарам, в отношении которых участники закупки должны дать свое предложение в первой части заявки.</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Аналогичная правовая позиция изложена в постановлении Пятнадцатого арбитражного апелляционного суда от 19.06.2019 по делу №А32-47801/2018, постановлении Пятнадцатого арбитражного апелляционного суда от 05.03.2019 по делу №А53-24106/2018.</w:t>
      </w:r>
    </w:p>
    <w:p>
      <w:pPr>
        <w:pStyle w:val="Style16"/>
        <w:widowControl w:val="0"/>
        <w:keepNext w:val="0"/>
        <w:keepLines w:val="0"/>
        <w:shd w:val="clear" w:color="auto" w:fill="auto"/>
        <w:bidi w:val="0"/>
        <w:jc w:val="both"/>
        <w:spacing w:before="0" w:after="300" w:line="322" w:lineRule="exact"/>
        <w:ind w:left="20" w:right="20" w:firstLine="720"/>
      </w:pPr>
      <w:r>
        <w:rPr>
          <w:lang w:val="ru-RU" w:eastAsia="ru-RU" w:bidi="ru-RU"/>
          <w:w w:val="100"/>
          <w:spacing w:val="0"/>
          <w:color w:val="000000"/>
          <w:position w:val="0"/>
        </w:rPr>
        <w:t>Следовательно, Заказчик, указывая в документации об аукционе описанные выше требования к товарам и излагая положения Инструкции противоречиво и неоднозначно, фактически не указал функциональные, технические и качественные характеристики объекта закупки, показатели, требования, условные обозначения и терминологию, касающихся технических и качественных характеристик объекта закупки в соответствии с п.п.1, 2 ч.1 ст.ЗЗ Закона, чем нарушил ч.1 ст.64 Закона.</w:t>
      </w:r>
    </w:p>
    <w:p>
      <w:pPr>
        <w:pStyle w:val="Style16"/>
        <w:widowControl w:val="0"/>
        <w:keepNext w:val="0"/>
        <w:keepLines w:val="0"/>
        <w:shd w:val="clear" w:color="auto" w:fill="auto"/>
        <w:bidi w:val="0"/>
        <w:jc w:val="both"/>
        <w:spacing w:before="0" w:after="300" w:line="322" w:lineRule="exact"/>
        <w:ind w:left="20" w:right="20" w:firstLine="720"/>
      </w:pPr>
      <w:r>
        <w:rPr>
          <w:lang w:val="ru-RU" w:eastAsia="ru-RU" w:bidi="ru-RU"/>
          <w:w w:val="100"/>
          <w:spacing w:val="0"/>
          <w:color w:val="000000"/>
          <w:position w:val="0"/>
        </w:rPr>
        <w:t xml:space="preserve">Действия Заказчика по созданию дополнительных сложностей при подготовке заявки для участников закупки противоречат основополагающим принципам государственной политики по развитию конкуренции, изложенным в Указе Президента РФ от 21.12.2017 </w:t>
      </w:r>
      <w:r>
        <w:rPr>
          <w:lang w:val="en-US" w:eastAsia="en-US" w:bidi="en-US"/>
          <w:w w:val="100"/>
          <w:spacing w:val="0"/>
          <w:color w:val="000000"/>
          <w:position w:val="0"/>
        </w:rPr>
        <w:t xml:space="preserve">N </w:t>
      </w:r>
      <w:r>
        <w:rPr>
          <w:lang w:val="ru-RU" w:eastAsia="ru-RU" w:bidi="ru-RU"/>
          <w:w w:val="100"/>
          <w:spacing w:val="0"/>
          <w:color w:val="000000"/>
          <w:position w:val="0"/>
        </w:rPr>
        <w:t>618 «Об основных направлениях государственной политики по развитию конкуренции», в том числе обеспечению равных условий и свободы экономической деятельности на территории Российской Федерации; обеспечению прозрачности закупок товаров, работ, услуг для государственных и муниципальных нужд.</w:t>
      </w:r>
    </w:p>
    <w:p>
      <w:pPr>
        <w:pStyle w:val="Style16"/>
        <w:widowControl w:val="0"/>
        <w:keepNext w:val="0"/>
        <w:keepLines w:val="0"/>
        <w:shd w:val="clear" w:color="auto" w:fill="auto"/>
        <w:bidi w:val="0"/>
        <w:jc w:val="both"/>
        <w:spacing w:before="0" w:after="333" w:line="322" w:lineRule="exact"/>
        <w:ind w:left="20" w:right="20" w:firstLine="720"/>
      </w:pPr>
      <w:r>
        <w:rPr>
          <w:lang w:val="ru-RU" w:eastAsia="ru-RU" w:bidi="ru-RU"/>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23"/>
        <w:widowControl w:val="0"/>
        <w:keepNext/>
        <w:keepLines/>
        <w:shd w:val="clear" w:color="auto" w:fill="auto"/>
        <w:bidi w:val="0"/>
        <w:spacing w:before="0" w:after="298" w:line="280" w:lineRule="exact"/>
        <w:ind w:left="0" w:right="0" w:firstLine="0"/>
      </w:pPr>
      <w:bookmarkStart w:id="1" w:name="bookmark1"/>
      <w:r>
        <w:rPr>
          <w:lang w:val="ru-RU" w:eastAsia="ru-RU" w:bidi="ru-RU"/>
          <w:w w:val="100"/>
          <w:spacing w:val="0"/>
          <w:color w:val="000000"/>
          <w:position w:val="0"/>
        </w:rPr>
        <w:t>РЕШИЛА:</w:t>
      </w:r>
      <w:bookmarkEnd w:id="1"/>
    </w:p>
    <w:p>
      <w:pPr>
        <w:pStyle w:val="Style16"/>
        <w:numPr>
          <w:ilvl w:val="0"/>
          <w:numId w:val="7"/>
        </w:numPr>
        <w:widowControl w:val="0"/>
        <w:keepNext w:val="0"/>
        <w:keepLines w:val="0"/>
        <w:shd w:val="clear" w:color="auto" w:fill="auto"/>
        <w:bidi w:val="0"/>
        <w:jc w:val="left"/>
        <w:spacing w:before="0" w:after="2" w:line="260" w:lineRule="exact"/>
        <w:ind w:left="380" w:right="0" w:firstLine="0"/>
      </w:pPr>
      <w:r>
        <w:rPr>
          <w:lang w:val="ru-RU" w:eastAsia="ru-RU" w:bidi="ru-RU"/>
          <w:w w:val="100"/>
          <w:spacing w:val="0"/>
          <w:color w:val="000000"/>
          <w:position w:val="0"/>
        </w:rPr>
        <w:t xml:space="preserve"> Признать жалобу Заявителя необоснованной.</w:t>
      </w:r>
    </w:p>
    <w:p>
      <w:pPr>
        <w:pStyle w:val="Style16"/>
        <w:numPr>
          <w:ilvl w:val="0"/>
          <w:numId w:val="7"/>
        </w:numPr>
        <w:widowControl w:val="0"/>
        <w:keepNext w:val="0"/>
        <w:keepLines w:val="0"/>
        <w:shd w:val="clear" w:color="auto" w:fill="auto"/>
        <w:bidi w:val="0"/>
        <w:jc w:val="left"/>
        <w:spacing w:before="0" w:after="0" w:line="260" w:lineRule="exact"/>
        <w:ind w:left="380" w:right="0" w:firstLine="0"/>
      </w:pPr>
      <w:r>
        <w:rPr>
          <w:lang w:val="ru-RU" w:eastAsia="ru-RU" w:bidi="ru-RU"/>
          <w:w w:val="100"/>
          <w:spacing w:val="0"/>
          <w:color w:val="000000"/>
          <w:position w:val="0"/>
        </w:rPr>
        <w:t xml:space="preserve"> Признать Заказчика нарушившим ч.1 ст.64 Закона.</w:t>
      </w:r>
    </w:p>
    <w:p>
      <w:pPr>
        <w:pStyle w:val="Style16"/>
        <w:numPr>
          <w:ilvl w:val="0"/>
          <w:numId w:val="7"/>
        </w:numPr>
        <w:widowControl w:val="0"/>
        <w:keepNext w:val="0"/>
        <w:keepLines w:val="0"/>
        <w:shd w:val="clear" w:color="auto" w:fill="auto"/>
        <w:bidi w:val="0"/>
        <w:jc w:val="both"/>
        <w:spacing w:before="0" w:after="0" w:line="326" w:lineRule="exact"/>
        <w:ind w:left="740" w:right="0"/>
      </w:pPr>
      <w:r>
        <w:rPr>
          <w:lang w:val="ru-RU" w:eastAsia="ru-RU" w:bidi="ru-RU"/>
          <w:w w:val="100"/>
          <w:spacing w:val="0"/>
          <w:color w:val="000000"/>
          <w:position w:val="0"/>
        </w:rPr>
        <w:t xml:space="preserve"> Выдать Заказчику, аукционной комиссии Заказчика обязательное для исполнения предписание об отмене всех сформированных протоколов и аннулировании аукциона.</w:t>
      </w:r>
    </w:p>
    <w:p>
      <w:pPr>
        <w:pStyle w:val="Style16"/>
        <w:numPr>
          <w:ilvl w:val="0"/>
          <w:numId w:val="7"/>
        </w:numPr>
        <w:widowControl w:val="0"/>
        <w:keepNext w:val="0"/>
        <w:keepLines w:val="0"/>
        <w:shd w:val="clear" w:color="auto" w:fill="auto"/>
        <w:bidi w:val="0"/>
        <w:jc w:val="both"/>
        <w:spacing w:before="0" w:after="300" w:line="322" w:lineRule="exact"/>
        <w:ind w:left="740" w:right="0"/>
      </w:pPr>
      <w:r>
        <w:rPr>
          <w:lang w:val="ru-RU" w:eastAsia="ru-RU" w:bidi="ru-RU"/>
          <w:w w:val="100"/>
          <w:spacing w:val="0"/>
          <w:color w:val="000000"/>
          <w:position w:val="0"/>
        </w:rPr>
        <w:t xml:space="preserve"> Рассмотреть вопрос о привлечении к административной ответственности виновного должностного лица Заказчика.</w:t>
      </w:r>
    </w:p>
    <w:p>
      <w:pPr>
        <w:pStyle w:val="Style16"/>
        <w:widowControl w:val="0"/>
        <w:keepNext w:val="0"/>
        <w:keepLines w:val="0"/>
        <w:shd w:val="clear" w:color="auto" w:fill="auto"/>
        <w:bidi w:val="0"/>
        <w:jc w:val="left"/>
        <w:spacing w:before="0" w:after="949" w:line="322" w:lineRule="exact"/>
        <w:ind w:left="0" w:right="0" w:firstLine="720"/>
      </w:pPr>
      <w:r>
        <w:rPr>
          <w:lang w:val="ru-RU" w:eastAsia="ru-RU" w:bidi="ru-RU"/>
          <w:w w:val="100"/>
          <w:spacing w:val="0"/>
          <w:color w:val="000000"/>
          <w:position w:val="0"/>
        </w:rPr>
        <w:t>В силу ч.9 ст. 106 Закона решение может быть обжаловано в судебном порядке в течение трех месяцев со дня его принятия.</w:t>
      </w:r>
    </w:p>
    <w:p>
      <w:pPr>
        <w:pStyle w:val="Style16"/>
        <w:widowControl w:val="0"/>
        <w:keepNext w:val="0"/>
        <w:keepLines w:val="0"/>
        <w:shd w:val="clear" w:color="auto" w:fill="auto"/>
        <w:bidi w:val="0"/>
        <w:jc w:val="left"/>
        <w:spacing w:before="0" w:after="357" w:line="260" w:lineRule="exact"/>
        <w:ind w:left="0" w:right="0" w:firstLine="0"/>
      </w:pPr>
      <w:r>
        <w:rPr>
          <w:lang w:val="ru-RU" w:eastAsia="ru-RU" w:bidi="ru-RU"/>
          <w:w w:val="100"/>
          <w:spacing w:val="0"/>
          <w:color w:val="000000"/>
          <w:position w:val="0"/>
        </w:rPr>
        <w:t>Председатель комиссии</w:t>
      </w:r>
    </w:p>
    <w:p>
      <w:pPr>
        <w:pStyle w:val="Style16"/>
        <w:widowControl w:val="0"/>
        <w:keepNext w:val="0"/>
        <w:keepLines w:val="0"/>
        <w:shd w:val="clear" w:color="auto" w:fill="auto"/>
        <w:bidi w:val="0"/>
        <w:jc w:val="left"/>
        <w:spacing w:before="0" w:after="0" w:line="260" w:lineRule="exact"/>
        <w:ind w:left="0" w:right="0" w:firstLine="0"/>
        <w:sectPr>
          <w:type w:val="continuous"/>
          <w:pgSz w:w="11906" w:h="16838"/>
          <w:pgMar w:top="779" w:left="856" w:right="856" w:bottom="1725" w:header="0" w:footer="3" w:gutter="110"/>
          <w:rtlGutter w:val="0"/>
          <w:cols w:space="720"/>
          <w:noEndnote/>
          <w:docGrid w:linePitch="360"/>
        </w:sectPr>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spacing w:before="322" w:after="82"/>
        <w:ind w:left="0" w:right="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186"/>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8"/>
        <w:widowControl w:val="0"/>
        <w:keepNext w:val="0"/>
        <w:keepLines w:val="0"/>
        <w:shd w:val="clear" w:color="auto" w:fill="auto"/>
        <w:bidi w:val="0"/>
        <w:spacing w:before="0" w:after="286" w:line="187" w:lineRule="exact"/>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"mailto:to61@fas.gov.ni" </w:instrText>
      </w:r>
      <w:r>
        <w:fldChar w:fldCharType="separate"/>
      </w:r>
      <w:r>
        <w:rPr>
          <w:rStyle w:val="Hyperlink"/>
          <w:lang w:val="en-US" w:eastAsia="en-US" w:bidi="en-US"/>
          <w:w w:val="100"/>
          <w:spacing w:val="0"/>
          <w:position w:val="0"/>
        </w:rPr>
        <w:t>to61@fas.gov.ni</w:t>
      </w:r>
      <w:r>
        <w:fldChar w:fldCharType="end"/>
      </w:r>
    </w:p>
    <w:p>
      <w:pPr>
        <w:pStyle w:val="Style20"/>
        <w:tabs>
          <w:tab w:leader="hyphen" w:pos="3356" w:val="right"/>
        </w:tabs>
        <w:widowControl w:val="0"/>
        <w:keepNext w:val="0"/>
        <w:keepLines w:val="0"/>
        <w:shd w:val="clear" w:color="auto" w:fill="auto"/>
        <w:bidi w:val="0"/>
        <w:jc w:val="both"/>
        <w:spacing w:before="0" w:after="0" w:line="280" w:lineRule="exact"/>
        <w:ind w:left="20" w:right="0" w:firstLine="0"/>
      </w:pPr>
      <w:r>
        <w:rPr>
          <w:lang w:val="ru-RU" w:eastAsia="ru-RU" w:bidi="ru-RU"/>
          <w:w w:val="100"/>
          <w:spacing w:val="0"/>
          <w:color w:val="000000"/>
          <w:position w:val="0"/>
        </w:rPr>
        <w:t>1 0.07.2019г.</w:t>
        <w:tab/>
        <w:t>№12448/03</w:t>
      </w:r>
    </w:p>
    <w:p>
      <w:pPr>
        <w:pStyle w:val="Style16"/>
        <w:widowControl w:val="0"/>
        <w:keepNext w:val="0"/>
        <w:keepLines w:val="0"/>
        <w:shd w:val="clear" w:color="auto" w:fill="auto"/>
        <w:bidi w:val="0"/>
        <w:jc w:val="left"/>
        <w:spacing w:before="0" w:after="296" w:line="322" w:lineRule="exact"/>
        <w:ind w:left="0" w:right="40" w:firstLine="0"/>
      </w:pPr>
      <w:r>
        <w:rPr>
          <w:lang w:val="ru-RU" w:eastAsia="ru-RU" w:bidi="ru-RU"/>
          <w:w w:val="100"/>
          <w:spacing w:val="0"/>
          <w:color w:val="000000"/>
          <w:position w:val="0"/>
        </w:rPr>
        <w:t>Муниципальное казенное учреждение "Отдел Заказчика" Кашарского района Ростовской области</w:t>
      </w:r>
    </w:p>
    <w:p>
      <w:pPr>
        <w:pStyle w:val="Style16"/>
        <w:widowControl w:val="0"/>
        <w:keepNext w:val="0"/>
        <w:keepLines w:val="0"/>
        <w:shd w:val="clear" w:color="auto" w:fill="auto"/>
        <w:bidi w:val="0"/>
        <w:jc w:val="left"/>
        <w:spacing w:before="0" w:after="0" w:line="326" w:lineRule="exact"/>
        <w:ind w:left="0" w:right="420" w:firstLine="0"/>
        <w:sectPr>
          <w:pgSz w:w="11906" w:h="16838"/>
          <w:pgMar w:top="748" w:left="846" w:right="1590" w:bottom="1530" w:header="0" w:footer="3" w:gutter="0"/>
          <w:rtlGutter w:val="0"/>
          <w:cols w:num="2" w:space="720" w:equalWidth="0">
            <w:col w:w="4771" w:space="922"/>
            <w:col w:w="3778"/>
          </w:cols>
          <w:noEndnote/>
          <w:docGrid w:linePitch="360"/>
        </w:sectPr>
      </w:pPr>
      <w:r>
        <w:rPr>
          <w:lang w:val="ru-RU" w:eastAsia="ru-RU" w:bidi="ru-RU"/>
          <w:w w:val="100"/>
          <w:spacing w:val="0"/>
          <w:color w:val="000000"/>
          <w:position w:val="0"/>
        </w:rPr>
        <w:t>346200, Ростовская область, сл.Кашары, ул. Ленина, 58</w:t>
      </w: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190" w:wrap="around" w:vAnchor="text" w:hAnchor="margin" w:x="2284" w:y="-7"/>
        <w:widowControl w:val="0"/>
        <w:keepNext w:val="0"/>
        <w:keepLines w:val="0"/>
        <w:shd w:val="clear" w:color="auto" w:fill="auto"/>
        <w:bidi w:val="0"/>
        <w:jc w:val="left"/>
        <w:spacing w:before="0" w:after="0" w:line="190" w:lineRule="exact"/>
        <w:ind w:left="100" w:right="0" w:firstLine="0"/>
      </w:pPr>
      <w:r>
        <w:rPr>
          <w:rStyle w:val="CharStyle4"/>
          <w:b/>
          <w:bCs/>
          <w:spacing w:val="0"/>
        </w:rPr>
        <w:t>от</w:t>
      </w:r>
    </w:p>
    <w:p>
      <w:pPr>
        <w:pStyle w:val="Style3"/>
        <w:widowControl w:val="0"/>
        <w:keepNext w:val="0"/>
        <w:keepLines w:val="0"/>
        <w:shd w:val="clear" w:color="auto" w:fill="auto"/>
        <w:bidi w:val="0"/>
        <w:jc w:val="both"/>
        <w:spacing w:before="0" w:after="1188" w:line="200" w:lineRule="exact"/>
        <w:ind w:left="20" w:right="0" w:firstLine="0"/>
      </w:pPr>
      <w:r>
        <w:rPr>
          <w:lang w:val="ru-RU" w:eastAsia="ru-RU" w:bidi="ru-RU"/>
          <w:w w:val="100"/>
          <w:spacing w:val="0"/>
          <w:color w:val="000000"/>
          <w:position w:val="0"/>
        </w:rPr>
        <w:t>На №</w:t>
      </w:r>
    </w:p>
    <w:p>
      <w:pPr>
        <w:pStyle w:val="Style20"/>
        <w:widowControl w:val="0"/>
        <w:keepNext w:val="0"/>
        <w:keepLines w:val="0"/>
        <w:shd w:val="clear" w:color="auto" w:fill="auto"/>
        <w:bidi w:val="0"/>
        <w:jc w:val="left"/>
        <w:spacing w:before="0" w:after="168" w:line="280" w:lineRule="exact"/>
        <w:ind w:left="3520" w:right="0" w:firstLine="0"/>
      </w:pPr>
      <w:r>
        <w:rPr>
          <w:lang w:val="ru-RU" w:eastAsia="ru-RU" w:bidi="ru-RU"/>
          <w:w w:val="100"/>
          <w:spacing w:val="0"/>
          <w:color w:val="000000"/>
          <w:position w:val="0"/>
        </w:rPr>
        <w:t>ПРЕДПИСАНИЕ № _526_/03</w:t>
      </w:r>
    </w:p>
    <w:p>
      <w:pPr>
        <w:pStyle w:val="Style16"/>
        <w:numPr>
          <w:ilvl w:val="0"/>
          <w:numId w:val="9"/>
        </w:numPr>
        <w:tabs>
          <w:tab w:leader="none" w:pos="8233" w:val="right"/>
          <w:tab w:leader="none" w:pos="10172" w:val="right"/>
          <w:tab w:leader="none" w:pos="1417" w:val="left"/>
        </w:tabs>
        <w:widowControl w:val="0"/>
        <w:keepNext w:val="0"/>
        <w:keepLines w:val="0"/>
        <w:shd w:val="clear" w:color="auto" w:fill="auto"/>
        <w:bidi w:val="0"/>
        <w:jc w:val="both"/>
        <w:spacing w:before="0" w:after="313" w:line="260" w:lineRule="exact"/>
        <w:ind w:left="20" w:right="0" w:firstLine="0"/>
      </w:pPr>
      <w:r>
        <w:rPr>
          <w:lang w:val="ru-RU" w:eastAsia="ru-RU" w:bidi="ru-RU"/>
          <w:w w:val="100"/>
          <w:spacing w:val="0"/>
          <w:color w:val="000000"/>
          <w:position w:val="0"/>
        </w:rPr>
        <w:t>г.</w:t>
        <w:tab/>
        <w:t>г.</w:t>
        <w:tab/>
        <w:t>Ростов-на-Дону</w:t>
      </w:r>
    </w:p>
    <w:p>
      <w:pPr>
        <w:pStyle w:val="Style16"/>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16"/>
        <w:tabs>
          <w:tab w:leader="none" w:pos="4700"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Председатель Комиссии:</w:t>
        <w:tab/>
        <w:t>Н.А. Кожемяко,</w:t>
      </w:r>
    </w:p>
    <w:p>
      <w:pPr>
        <w:pStyle w:val="Style16"/>
        <w:tabs>
          <w:tab w:leader="none" w:pos="4700"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Члены Комиссии:</w:t>
        <w:tab/>
        <w:t>Т.С. Акопян, В.В. Моргунов</w:t>
      </w:r>
    </w:p>
    <w:p>
      <w:pPr>
        <w:pStyle w:val="Style16"/>
        <w:widowControl w:val="0"/>
        <w:keepNext w:val="0"/>
        <w:keepLines w:val="0"/>
        <w:shd w:val="clear" w:color="auto" w:fill="auto"/>
        <w:bidi w:val="0"/>
        <w:jc w:val="both"/>
        <w:spacing w:before="0" w:after="273" w:line="322" w:lineRule="exact"/>
        <w:ind w:left="20" w:right="20" w:firstLine="0"/>
      </w:pPr>
      <w:r>
        <w:rPr>
          <w:lang w:val="ru-RU" w:eastAsia="ru-RU" w:bidi="ru-RU"/>
          <w:w w:val="100"/>
          <w:spacing w:val="0"/>
          <w:color w:val="000000"/>
          <w:position w:val="0"/>
        </w:rPr>
        <w:t>на основании своего решения от 05.07.2019 г. по делу № 061/06/67-1173/2019 о нарушении Муниципальным казенным учреждением "Отдел Заказчика" Кашарского района Ростовской области (далее - Заказчик) ч.1 ст.64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0358300213119000016 «Благоустройство территории земельного участка, расположенного по адресу: Ростовская область, Кашарский район, Кашарское сельское поселение, примерно в 800,0 метрах по направлению на северо-восток от ориентира здание Администрации Кашарского района» (далее - аукцион),</w:t>
      </w:r>
    </w:p>
    <w:p>
      <w:pPr>
        <w:pStyle w:val="Style20"/>
        <w:widowControl w:val="0"/>
        <w:keepNext w:val="0"/>
        <w:keepLines w:val="0"/>
        <w:shd w:val="clear" w:color="auto" w:fill="auto"/>
        <w:bidi w:val="0"/>
        <w:spacing w:before="0" w:after="317" w:line="280" w:lineRule="exact"/>
        <w:ind w:left="0" w:right="0" w:firstLine="0"/>
      </w:pPr>
      <w:r>
        <w:rPr>
          <w:lang w:val="ru-RU" w:eastAsia="ru-RU" w:bidi="ru-RU"/>
          <w:w w:val="100"/>
          <w:spacing w:val="0"/>
          <w:color w:val="000000"/>
          <w:position w:val="0"/>
        </w:rPr>
        <w:t>ПРЕДПИСЫВАЕТ:</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Заказчику, аукционной комиссии в срок до 31.07.2019 г. отменить все сформированные протоколы и аннулировать названный аукцион.</w:t>
      </w:r>
    </w:p>
    <w:p>
      <w:pPr>
        <w:pStyle w:val="Style18"/>
        <w:framePr w:h="320" w:wrap="notBeside" w:vAnchor="text" w:hAnchor="margin" w:x="9009" w:y="1776"/>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014927</w:t>
      </w:r>
    </w:p>
    <w:p>
      <w:pPr>
        <w:pStyle w:val="Style16"/>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Оператору электронной площадки АО «ЭТО» обеспечить Заказчику, аукционной комиссии Заказчика исполнение данного предписания.</w:t>
      </w:r>
      <w:r>
        <w:br w:type="page"/>
      </w:r>
    </w:p>
    <w:p>
      <w:pPr>
        <w:pStyle w:val="Style16"/>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Об исполнении настоящего предписания сообщить в Ростовское У ФАС России до 05.08.2019 года с приложением документов, подтверждающих надлежащее исполнение предписания.</w:t>
      </w:r>
    </w:p>
    <w:p>
      <w:pPr>
        <w:pStyle w:val="Style16"/>
        <w:widowControl w:val="0"/>
        <w:keepNext w:val="0"/>
        <w:keepLines w:val="0"/>
        <w:shd w:val="clear" w:color="auto" w:fill="auto"/>
        <w:bidi w:val="0"/>
        <w:jc w:val="both"/>
        <w:spacing w:before="0" w:after="0" w:line="322" w:lineRule="exact"/>
        <w:ind w:left="0" w:right="0" w:firstLine="740"/>
      </w:pPr>
      <w:r>
        <w:rPr>
          <w:lang w:val="ru-RU" w:eastAsia="ru-RU" w:bidi="ru-RU"/>
          <w:w w:val="100"/>
          <w:spacing w:val="0"/>
          <w:color w:val="000000"/>
          <w:position w:val="0"/>
        </w:rPr>
        <w:t>Контроль за исполнением предписания возложить на В.В. Моргунова.</w:t>
      </w:r>
    </w:p>
    <w:p>
      <w:pPr>
        <w:pStyle w:val="Style16"/>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В соответствии с ч.9 ст. 106 Закона предписание может быть обжаловано в арбитражный суд в течение трех месяцев со дня его вынесения.</w:t>
      </w:r>
    </w:p>
    <w:p>
      <w:pPr>
        <w:pStyle w:val="Style16"/>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 19.5 Кодекса Российской Федерации об административных правонарушениях.</w:t>
      </w:r>
    </w:p>
    <w:p>
      <w:pPr>
        <w:pStyle w:val="Style16"/>
        <w:widowControl w:val="0"/>
        <w:keepNext w:val="0"/>
        <w:keepLines w:val="0"/>
        <w:shd w:val="clear" w:color="auto" w:fill="auto"/>
        <w:bidi w:val="0"/>
        <w:jc w:val="both"/>
        <w:spacing w:before="0" w:after="639" w:line="322" w:lineRule="exact"/>
        <w:ind w:left="0" w:right="20" w:firstLine="740"/>
      </w:pPr>
      <w:r>
        <w:rPr>
          <w:lang w:val="ru-RU" w:eastAsia="ru-RU" w:bidi="ru-RU"/>
          <w:w w:val="100"/>
          <w:spacing w:val="0"/>
          <w:color w:val="000000"/>
          <w:position w:val="0"/>
        </w:rPr>
        <w:t>Привлечение к ответственности, предусмотренной законодательством РФ, не освобождает от обязанности исполнить предписание.</w:t>
      </w:r>
    </w:p>
    <w:p>
      <w:pPr>
        <w:pStyle w:val="Style16"/>
        <w:widowControl w:val="0"/>
        <w:keepNext w:val="0"/>
        <w:keepLines w:val="0"/>
        <w:shd w:val="clear" w:color="auto" w:fill="auto"/>
        <w:bidi w:val="0"/>
        <w:jc w:val="left"/>
        <w:spacing w:before="0" w:after="0" w:line="648" w:lineRule="exact"/>
        <w:ind w:left="0" w:right="1300" w:firstLine="0"/>
      </w:pPr>
      <w:r>
        <w:rPr>
          <w:lang w:val="ru-RU" w:eastAsia="ru-RU" w:bidi="ru-RU"/>
          <w:w w:val="100"/>
          <w:spacing w:val="0"/>
          <w:color w:val="000000"/>
          <w:position w:val="0"/>
        </w:rPr>
        <w:t>Председатель комиссии Члены комиссии</w:t>
      </w:r>
    </w:p>
    <w:sectPr>
      <w:type w:val="continuous"/>
      <w:pgSz w:w="11906" w:h="16838"/>
      <w:pgMar w:top="1146" w:left="840" w:right="809" w:bottom="19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9"/>
      <w:numFmt w:val="decimal"/>
      <w:lvlText w:val="05.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9"/>
      <w:numFmt w:val="decimal"/>
      <w:lvlText w:val="05.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1"/>
    </w:rPr>
  </w:style>
  <w:style w:type="character" w:customStyle="1" w:styleId="CharStyle5">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9">
    <w:name w:val="Основной текст (4)_"/>
    <w:basedOn w:val="DefaultParagraphFont"/>
    <w:link w:val="Style8"/>
    <w:rPr>
      <w:b/>
      <w:bCs/>
      <w:i w:val="0"/>
      <w:iCs w:val="0"/>
      <w:u w:val="none"/>
      <w:strike w:val="0"/>
      <w:smallCaps w:val="0"/>
      <w:sz w:val="17"/>
      <w:szCs w:val="17"/>
      <w:rFonts w:ascii="Times New Roman" w:eastAsia="Times New Roman" w:hAnsi="Times New Roman" w:cs="Times New Roman"/>
    </w:rPr>
  </w:style>
  <w:style w:type="character" w:customStyle="1" w:styleId="CharStyle10">
    <w:name w:val="Основной текст (4) + Малые прописные"/>
    <w:basedOn w:val="CharStyle9"/>
    <w:rPr>
      <w:lang w:val="ru-RU" w:eastAsia="ru-RU" w:bidi="ru-RU"/>
      <w:smallCaps/>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52"/>
      <w:szCs w:val="52"/>
      <w:rFonts w:ascii="Times New Roman" w:eastAsia="Times New Roman" w:hAnsi="Times New Roman" w:cs="Times New Roman"/>
      <w:spacing w:val="-40"/>
    </w:rPr>
  </w:style>
  <w:style w:type="character" w:customStyle="1" w:styleId="CharStyle13">
    <w:name w:val="Заголовок №1 + Не полужирный,Интервал 0 pt"/>
    <w:basedOn w:val="CharStyle12"/>
    <w:rPr>
      <w:lang w:val="ru-RU" w:eastAsia="ru-RU" w:bidi="ru-RU"/>
      <w:b/>
      <w:bCs/>
      <w:w w:val="100"/>
      <w:spacing w:val="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26"/>
      <w:szCs w:val="26"/>
      <w:rFonts w:ascii="Candara" w:eastAsia="Candara" w:hAnsi="Candara" w:cs="Candara"/>
    </w:rPr>
  </w:style>
  <w:style w:type="character" w:customStyle="1" w:styleId="CharStyle17">
    <w:name w:val="Основной текст_"/>
    <w:basedOn w:val="DefaultParagraphFont"/>
    <w:link w:val="Style16"/>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7) Exact"/>
    <w:basedOn w:val="DefaultParagraphFont"/>
    <w:link w:val="Style18"/>
    <w:rPr>
      <w:b w:val="0"/>
      <w:bCs w:val="0"/>
      <w:i w:val="0"/>
      <w:iCs w:val="0"/>
      <w:u w:val="none"/>
      <w:strike w:val="0"/>
      <w:smallCaps w:val="0"/>
      <w:sz w:val="32"/>
      <w:szCs w:val="32"/>
      <w:rFonts w:ascii="Times New Roman" w:eastAsia="Times New Roman" w:hAnsi="Times New Roman" w:cs="Times New Roman"/>
    </w:rPr>
  </w:style>
  <w:style w:type="character" w:customStyle="1" w:styleId="CharStyle21">
    <w:name w:val="Основной текст (6)_"/>
    <w:basedOn w:val="DefaultParagraphFont"/>
    <w:link w:val="Style20"/>
    <w:rPr>
      <w:b/>
      <w:bCs/>
      <w:i w:val="0"/>
      <w:iCs w:val="0"/>
      <w:u w:val="none"/>
      <w:strike w:val="0"/>
      <w:smallCaps w:val="0"/>
      <w:sz w:val="28"/>
      <w:szCs w:val="28"/>
      <w:rFonts w:ascii="Times New Roman" w:eastAsia="Times New Roman" w:hAnsi="Times New Roman" w:cs="Times New Roman"/>
    </w:rPr>
  </w:style>
  <w:style w:type="character" w:customStyle="1" w:styleId="CharStyle22">
    <w:name w:val="Основной текст"/>
    <w:basedOn w:val="CharStyle17"/>
    <w:rPr>
      <w:lang w:val="ru-RU" w:eastAsia="ru-RU" w:bidi="ru-RU"/>
      <w:u w:val="single"/>
      <w:w w:val="100"/>
      <w:spacing w:val="0"/>
      <w:color w:val="000000"/>
      <w:position w:val="0"/>
    </w:rPr>
  </w:style>
  <w:style w:type="character" w:customStyle="1" w:styleId="CharStyle24">
    <w:name w:val="Заголовок №2_"/>
    <w:basedOn w:val="DefaultParagraphFont"/>
    <w:link w:val="Style23"/>
    <w:rPr>
      <w:b/>
      <w:bCs/>
      <w:i w:val="0"/>
      <w:iCs w:val="0"/>
      <w:u w:val="none"/>
      <w:strike w:val="0"/>
      <w:smallCaps w:val="0"/>
      <w:sz w:val="28"/>
      <w:szCs w:val="28"/>
      <w:rFonts w:ascii="Times New Roman" w:eastAsia="Times New Roman" w:hAnsi="Times New Roman" w:cs="Times New Roman"/>
    </w:rPr>
  </w:style>
  <w:style w:type="paragraph" w:customStyle="1" w:styleId="Style3">
    <w:name w:val="Основной текст (2)"/>
    <w:basedOn w:val="Normal"/>
    <w:link w:val="CharStyle5"/>
    <w:pPr>
      <w:widowControl w:val="0"/>
      <w:shd w:val="clear" w:color="auto" w:fill="FFFFFF"/>
      <w:jc w:val="center"/>
      <w:spacing w:before="360" w:after="120" w:line="221"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9"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jc w:val="center"/>
      <w:spacing w:before="120" w:after="120" w:line="192" w:lineRule="exact"/>
    </w:pPr>
    <w:rPr>
      <w:b/>
      <w:bCs/>
      <w:i w:val="0"/>
      <w:iCs w:val="0"/>
      <w:u w:val="none"/>
      <w:strike w:val="0"/>
      <w:smallCaps w:val="0"/>
      <w:sz w:val="17"/>
      <w:szCs w:val="17"/>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120" w:after="360" w:line="0" w:lineRule="exact"/>
    </w:pPr>
    <w:rPr>
      <w:b/>
      <w:bCs/>
      <w:i w:val="0"/>
      <w:iCs w:val="0"/>
      <w:u w:val="none"/>
      <w:strike w:val="0"/>
      <w:smallCaps w:val="0"/>
      <w:sz w:val="52"/>
      <w:szCs w:val="52"/>
      <w:rFonts w:ascii="Times New Roman" w:eastAsia="Times New Roman" w:hAnsi="Times New Roman" w:cs="Times New Roman"/>
      <w:spacing w:val="-40"/>
    </w:rPr>
  </w:style>
  <w:style w:type="paragraph" w:customStyle="1" w:styleId="Style14">
    <w:name w:val="Основной текст (5)"/>
    <w:basedOn w:val="Normal"/>
    <w:link w:val="CharStyle15"/>
    <w:pPr>
      <w:widowControl w:val="0"/>
      <w:shd w:val="clear" w:color="auto" w:fill="FFFFFF"/>
      <w:jc w:val="center"/>
      <w:spacing w:before="360" w:after="360" w:line="0" w:lineRule="exact"/>
    </w:pPr>
    <w:rPr>
      <w:b w:val="0"/>
      <w:bCs w:val="0"/>
      <w:i w:val="0"/>
      <w:iCs w:val="0"/>
      <w:u w:val="none"/>
      <w:strike w:val="0"/>
      <w:smallCaps w:val="0"/>
      <w:sz w:val="26"/>
      <w:szCs w:val="26"/>
      <w:rFonts w:ascii="Candara" w:eastAsia="Candara" w:hAnsi="Candara" w:cs="Candara"/>
    </w:rPr>
  </w:style>
  <w:style w:type="paragraph" w:customStyle="1" w:styleId="Style16">
    <w:name w:val="Основной текст"/>
    <w:basedOn w:val="Normal"/>
    <w:link w:val="CharStyle17"/>
    <w:pPr>
      <w:widowControl w:val="0"/>
      <w:shd w:val="clear" w:color="auto" w:fill="FFFFFF"/>
      <w:spacing w:after="60" w:line="0" w:lineRule="exact"/>
      <w:ind w:hanging="360"/>
    </w:pPr>
    <w:rPr>
      <w:b w:val="0"/>
      <w:bCs w:val="0"/>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7)"/>
    <w:basedOn w:val="Normal"/>
    <w:link w:val="CharStyle19"/>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center"/>
      <w:spacing w:before="780" w:after="180" w:line="0" w:lineRule="exact"/>
    </w:pPr>
    <w:rPr>
      <w:b/>
      <w:bCs/>
      <w:i w:val="0"/>
      <w:iCs w:val="0"/>
      <w:u w:val="none"/>
      <w:strike w:val="0"/>
      <w:smallCaps w:val="0"/>
      <w:sz w:val="28"/>
      <w:szCs w:val="28"/>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center"/>
      <w:outlineLvl w:val="1"/>
      <w:spacing w:before="300" w:after="360" w:line="0" w:lineRule="exact"/>
    </w:pPr>
    <w:rPr>
      <w:b/>
      <w:bCs/>
      <w:i w:val="0"/>
      <w:iCs w:val="0"/>
      <w:u w:val="none"/>
      <w:strike w:val="0"/>
      <w:smallCaps w:val="0"/>
      <w:sz w:val="28"/>
      <w:szCs w:val="2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