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7" w:after="103"/>
        <w:ind w:left="0" w:right="0" w:firstLine="0"/>
      </w:pPr>
      <w:r>
        <w:rPr>
          <w:lang w:val="ru-RU" w:eastAsia="ru-RU" w:bidi="ru-RU"/>
          <w:sz w:val="24"/>
          <w:szCs w:val="24"/>
          <w:w w:val="100"/>
          <w:spacing w:val="0"/>
          <w:color w:val="000000"/>
          <w:position w:val="0"/>
        </w:rPr>
        <w:t xml:space="preserve">ФЕДЕРАЛЬНАЯ АНТИМОНОПОЛЬНАЯ СЛУЖБА </w:t>
      </w:r>
      <w:r>
        <w:rPr>
          <w:rStyle w:val="CharStyle5"/>
          <w:b/>
          <w:bCs/>
        </w:rPr>
        <w:t xml:space="preserve">УПРАВЛЕНИЕ </w:t>
      </w:r>
      <w:r>
        <w:rPr>
          <w:lang w:val="ru-RU" w:eastAsia="ru-RU" w:bidi="ru-RU"/>
          <w:sz w:val="24"/>
          <w:szCs w:val="24"/>
          <w:w w:val="100"/>
          <w:spacing w:val="0"/>
          <w:color w:val="000000"/>
          <w:position w:val="0"/>
        </w:rPr>
        <w:t xml:space="preserve">Федеральной антимонопольной службы по Ханты-Мансийскому автономному округу - Югре </w:t>
      </w:r>
      <w:r>
        <w:rPr>
          <w:rStyle w:val="CharStyle6"/>
          <w:b/>
          <w:bCs/>
        </w:rPr>
        <w:t xml:space="preserve">ул. Мира, 27, г. Ханты-Мансийск, 628002 тел. (3467)38-80-81 </w:t>
      </w:r>
      <w:r>
        <w:rPr>
          <w:rStyle w:val="CharStyle6"/>
          <w:lang w:val="en-US" w:eastAsia="en-US" w:bidi="en-US"/>
          <w:b/>
          <w:bCs/>
        </w:rPr>
        <w:t xml:space="preserve">e-mail: </w:t>
      </w:r>
      <w:r>
        <w:fldChar w:fldCharType="begin"/>
      </w:r>
      <w:r>
        <w:rPr>
          <w:rStyle w:val="CharStyle7"/>
        </w:rPr>
        <w:instrText> HYPERLINK "mailto:to86@fas.gov.ru" </w:instrText>
      </w:r>
      <w:r>
        <w:fldChar w:fldCharType="separate"/>
      </w:r>
      <w:r>
        <w:rPr>
          <w:rStyle w:val="Hyperlink"/>
          <w:b/>
          <w:bCs/>
        </w:rPr>
        <w:t>to86@fas.gov.ru</w:t>
      </w:r>
      <w:r>
        <w:fldChar w:fldCharType="end"/>
      </w:r>
    </w:p>
    <w:p>
      <w:pPr>
        <w:pStyle w:val="Style8"/>
        <w:widowControl w:val="0"/>
        <w:keepNext w:val="0"/>
        <w:keepLines w:val="0"/>
        <w:shd w:val="clear" w:color="auto" w:fill="auto"/>
        <w:bidi w:val="0"/>
        <w:spacing w:before="0" w:after="0" w:line="360" w:lineRule="exact"/>
        <w:ind w:left="0" w:right="540" w:firstLine="0"/>
      </w:pPr>
      <w:r>
        <w:rPr>
          <w:lang w:val="ru-RU" w:eastAsia="ru-RU" w:bidi="ru-RU"/>
          <w:sz w:val="24"/>
          <w:szCs w:val="24"/>
          <w:w w:val="100"/>
          <w:spacing w:val="0"/>
          <w:color w:val="000000"/>
          <w:position w:val="0"/>
        </w:rPr>
        <w:t xml:space="preserve">.2019 № 03/КА- </w:t>
      </w:r>
      <w:r>
        <w:rPr>
          <w:rStyle w:val="CharStyle10"/>
        </w:rPr>
        <w:t>£</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ОАО "ЕЭТП"</w:t>
      </w:r>
    </w:p>
    <w:p>
      <w:pPr>
        <w:pStyle w:val="Style8"/>
        <w:widowControl w:val="0"/>
        <w:keepNext w:val="0"/>
        <w:keepLines w:val="0"/>
        <w:shd w:val="clear" w:color="auto" w:fill="auto"/>
        <w:bidi w:val="0"/>
        <w:jc w:val="left"/>
        <w:spacing w:before="0" w:after="0" w:line="274" w:lineRule="exact"/>
        <w:ind w:left="20" w:right="100" w:firstLine="0"/>
      </w:pPr>
      <w:r>
        <w:rPr>
          <w:lang w:val="ru-RU" w:eastAsia="ru-RU" w:bidi="ru-RU"/>
          <w:sz w:val="24"/>
          <w:szCs w:val="24"/>
          <w:w w:val="100"/>
          <w:spacing w:val="0"/>
          <w:color w:val="000000"/>
          <w:position w:val="0"/>
        </w:rPr>
        <w:t xml:space="preserve">117312, г.Москва, пр-т 60-летия Октября, д. 9 тел.: (495) 5424020, 2761626 </w:t>
      </w:r>
      <w:r>
        <w:rPr>
          <w:lang w:val="en-US" w:eastAsia="en-US" w:bidi="en-US"/>
          <w:sz w:val="24"/>
          <w:szCs w:val="24"/>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r>
        <w:rPr>
          <w:lang w:val="en-US" w:eastAsia="en-US" w:bidi="en-US"/>
          <w:sz w:val="24"/>
          <w:szCs w:val="24"/>
          <w:w w:val="100"/>
          <w:spacing w:val="0"/>
          <w:color w:val="000000"/>
          <w:position w:val="0"/>
        </w:rPr>
        <w:t xml:space="preserve"> </w:t>
      </w:r>
      <w:r>
        <w:rPr>
          <w:rStyle w:val="CharStyle11"/>
        </w:rPr>
        <w:t>Заявитель:</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ООО «Оргремстрой»</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197342, г. Санкт-Петербург, ул. Сердобольская,</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65А, оф. 519</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Тел.: 8 996 951 92 08</w:t>
      </w:r>
    </w:p>
    <w:p>
      <w:pPr>
        <w:pStyle w:val="Style8"/>
        <w:widowControl w:val="0"/>
        <w:keepNext w:val="0"/>
        <w:keepLines w:val="0"/>
        <w:shd w:val="clear" w:color="auto" w:fill="auto"/>
        <w:bidi w:val="0"/>
        <w:jc w:val="left"/>
        <w:spacing w:before="0" w:after="0" w:line="274" w:lineRule="exact"/>
        <w:ind w:left="20" w:right="0" w:firstLine="0"/>
      </w:pPr>
      <w:r>
        <w:rPr>
          <w:lang w:val="en-US" w:eastAsia="en-US" w:bidi="en-US"/>
          <w:sz w:val="24"/>
          <w:szCs w:val="24"/>
          <w:w w:val="100"/>
          <w:spacing w:val="0"/>
          <w:color w:val="000000"/>
          <w:position w:val="0"/>
        </w:rPr>
        <w:t xml:space="preserve">e-mail: </w:t>
      </w:r>
      <w:r>
        <w:rPr>
          <w:rStyle w:val="CharStyle12"/>
          <w:lang w:val="en-US" w:eastAsia="en-US" w:bidi="en-US"/>
        </w:rPr>
        <w:t>tender@bubenough.</w:t>
      </w:r>
      <w:r>
        <w:rPr>
          <w:rStyle w:val="CharStyle12"/>
        </w:rPr>
        <w:t>со</w:t>
      </w:r>
      <w:r>
        <w:rPr>
          <w:rStyle w:val="CharStyle12"/>
          <w:lang w:val="en-US" w:eastAsia="en-US" w:bidi="en-US"/>
        </w:rPr>
        <w:t>m.</w:t>
      </w:r>
    </w:p>
    <w:p>
      <w:pPr>
        <w:pStyle w:val="Style8"/>
        <w:widowControl w:val="0"/>
        <w:keepNext w:val="0"/>
        <w:keepLines w:val="0"/>
        <w:shd w:val="clear" w:color="auto" w:fill="auto"/>
        <w:bidi w:val="0"/>
        <w:jc w:val="left"/>
        <w:spacing w:before="0" w:after="0" w:line="274" w:lineRule="exact"/>
        <w:ind w:left="20" w:right="0" w:firstLine="0"/>
      </w:pPr>
      <w:r>
        <w:fldChar w:fldCharType="begin"/>
      </w:r>
      <w:r>
        <w:rPr>
          <w:color w:val="000000"/>
        </w:rPr>
        <w:instrText> HYPERLINK "mailto:777club00@inbox.ru" </w:instrText>
      </w:r>
      <w:r>
        <w:fldChar w:fldCharType="separate"/>
      </w:r>
      <w:r>
        <w:rPr>
          <w:rStyle w:val="Hyperlink"/>
          <w:lang w:val="en-US" w:eastAsia="en-US" w:bidi="en-US"/>
          <w:sz w:val="24"/>
          <w:szCs w:val="24"/>
          <w:w w:val="100"/>
          <w:spacing w:val="0"/>
          <w:position w:val="0"/>
        </w:rPr>
        <w:t>777club00@inbox.ru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Заказчик:</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МКУ «Управление капитального строительства»</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 xml:space="preserve">628418, Ханты-Мансийский автономный округ - Югра, г. Сургут, Островского, 47 Тел.: +7 (3462) 550-724 </w:t>
      </w:r>
      <w:r>
        <w:rPr>
          <w:lang w:val="en-US" w:eastAsia="en-US" w:bidi="en-US"/>
          <w:sz w:val="24"/>
          <w:szCs w:val="24"/>
          <w:w w:val="100"/>
          <w:spacing w:val="0"/>
          <w:color w:val="000000"/>
          <w:position w:val="0"/>
        </w:rPr>
        <w:t xml:space="preserve">e-mail: </w:t>
      </w:r>
      <w:r>
        <w:fldChar w:fldCharType="begin"/>
      </w:r>
      <w:r>
        <w:rPr>
          <w:color w:val="000000"/>
        </w:rPr>
        <w:instrText> HYPERLINK "mailto:salimova_gg@admsurgut.ru" </w:instrText>
      </w:r>
      <w:r>
        <w:fldChar w:fldCharType="separate"/>
      </w:r>
      <w:r>
        <w:rPr>
          <w:rStyle w:val="Hyperlink"/>
          <w:lang w:val="en-US" w:eastAsia="en-US" w:bidi="en-US"/>
          <w:sz w:val="24"/>
          <w:szCs w:val="24"/>
          <w:w w:val="100"/>
          <w:spacing w:val="0"/>
          <w:position w:val="0"/>
        </w:rPr>
        <w:t>salimova_gg@admsurgut.ru</w:t>
      </w:r>
      <w:r>
        <w:fldChar w:fldCharType="end"/>
      </w:r>
      <w:r>
        <w:rPr>
          <w:lang w:val="en-US" w:eastAsia="en-US" w:bidi="en-US"/>
          <w:sz w:val="24"/>
          <w:szCs w:val="24"/>
          <w:w w:val="100"/>
          <w:spacing w:val="0"/>
          <w:color w:val="000000"/>
          <w:position w:val="0"/>
        </w:rPr>
        <w:t xml:space="preserve"> </w:t>
      </w:r>
      <w:r>
        <w:rPr>
          <w:rStyle w:val="CharStyle11"/>
        </w:rPr>
        <w:t>Уполномоченный орган:</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Администрация города Сургута</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628408, Ханты-Мансийский Автономный округ</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 Югра, Сургут г, ул Энгельса, 8.</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Тел.: 8(3462) 52-22-88.</w:t>
      </w:r>
    </w:p>
    <w:p>
      <w:pPr>
        <w:pStyle w:val="Style8"/>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1039" w:left="1410" w:right="983" w:bottom="1049" w:header="0" w:footer="3" w:gutter="0"/>
          <w:rtlGutter w:val="0"/>
          <w:cols w:num="2" w:space="720" w:equalWidth="0">
            <w:col w:w="3898" w:space="600"/>
            <w:col w:w="5016"/>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"mailto:klochkova_mb@admsurgut.ru" </w:instrText>
      </w:r>
      <w:r>
        <w:fldChar w:fldCharType="separate"/>
      </w:r>
      <w:r>
        <w:rPr>
          <w:rStyle w:val="Hyperlink"/>
          <w:lang w:val="en-US" w:eastAsia="en-US" w:bidi="en-US"/>
          <w:sz w:val="24"/>
          <w:szCs w:val="24"/>
          <w:w w:val="100"/>
          <w:spacing w:val="0"/>
          <w:position w:val="0"/>
        </w:rPr>
        <w:t>klochkova_mb@admsurgut.ru</w:t>
      </w:r>
      <w:r>
        <w:fldChar w:fldCharType="end"/>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1039" w:left="3978" w:right="3680" w:bottom="1049" w:header="0" w:footer="3" w:gutter="0"/>
          <w:rtlGutter w:val="0"/>
          <w:cols w:space="720"/>
          <w:noEndnote/>
          <w:docGrid w:linePitch="360"/>
        </w:sectPr>
      </w:pPr>
      <w:r>
        <w:rPr>
          <w:lang w:val="ru-RU" w:eastAsia="ru-RU" w:bidi="ru-RU"/>
          <w:sz w:val="24"/>
          <w:szCs w:val="24"/>
          <w:w w:val="100"/>
          <w:spacing w:val="0"/>
          <w:color w:val="000000"/>
          <w:position w:val="0"/>
        </w:rPr>
        <w:t>РЕШЕНИЕ№086/06/44-ФЗ-1171/2019</w:t>
      </w: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30" w:wrap="around" w:vAnchor="text" w:hAnchor="margin" w:x="7108" w:y="-5"/>
        <w:widowControl w:val="0"/>
        <w:keepNext w:val="0"/>
        <w:keepLines w:val="0"/>
        <w:shd w:val="clear" w:color="auto" w:fill="auto"/>
        <w:bidi w:val="0"/>
        <w:jc w:val="left"/>
        <w:spacing w:before="0" w:after="0" w:line="230" w:lineRule="exact"/>
        <w:ind w:left="100" w:right="0" w:firstLine="0"/>
      </w:pPr>
      <w:r>
        <w:rPr>
          <w:rStyle w:val="CharStyle13"/>
          <w:spacing w:val="0"/>
        </w:rPr>
        <w:t>г. Ханты-Мансийск</w:t>
      </w:r>
    </w:p>
    <w:p>
      <w:pPr>
        <w:pStyle w:val="Style8"/>
        <w:widowControl w:val="0"/>
        <w:keepNext w:val="0"/>
        <w:keepLines w:val="0"/>
        <w:shd w:val="clear" w:color="auto" w:fill="auto"/>
        <w:bidi w:val="0"/>
        <w:jc w:val="left"/>
        <w:spacing w:before="0" w:after="244" w:line="278" w:lineRule="exact"/>
        <w:ind w:left="20" w:right="2840" w:firstLine="0"/>
      </w:pPr>
      <w:r>
        <w:rPr>
          <w:lang w:val="ru-RU" w:eastAsia="ru-RU" w:bidi="ru-RU"/>
          <w:sz w:val="24"/>
          <w:szCs w:val="24"/>
          <w:w w:val="100"/>
          <w:spacing w:val="0"/>
          <w:color w:val="000000"/>
          <w:position w:val="0"/>
        </w:rPr>
        <w:t>Резолютивная часть объявлена 05.07.2019 Изготовлено в полном объеме 09.07.2019</w:t>
      </w:r>
    </w:p>
    <w:p>
      <w:pPr>
        <w:pStyle w:val="Style8"/>
        <w:widowControl w:val="0"/>
        <w:keepNext w:val="0"/>
        <w:keepLines w:val="0"/>
        <w:shd w:val="clear" w:color="auto" w:fill="auto"/>
        <w:bidi w:val="0"/>
        <w:jc w:val="both"/>
        <w:spacing w:before="0" w:after="0" w:line="274" w:lineRule="exact"/>
        <w:ind w:left="20" w:right="20" w:firstLine="56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Председателя комиссии:</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Миронов А.Г. - Врио руководителя Управления;</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Членов комиссии:</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Капаклы А.Д. - Старший государственный инспектор отдела Управления;</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Тохтахунов О.Х. - Старший государственный инспектор отдела Управления;</w:t>
      </w:r>
    </w:p>
    <w:p>
      <w:pPr>
        <w:pStyle w:val="Style8"/>
        <w:numPr>
          <w:ilvl w:val="0"/>
          <w:numId w:val="1"/>
        </w:numPr>
        <w:widowControl w:val="0"/>
        <w:keepNext w:val="0"/>
        <w:keepLines w:val="0"/>
        <w:shd w:val="clear" w:color="auto" w:fill="auto"/>
        <w:bidi w:val="0"/>
        <w:jc w:val="both"/>
        <w:spacing w:before="0" w:after="240" w:line="274" w:lineRule="exact"/>
        <w:ind w:left="20" w:right="0" w:firstLine="560"/>
      </w:pPr>
      <w:r>
        <w:rPr>
          <w:lang w:val="ru-RU" w:eastAsia="ru-RU" w:bidi="ru-RU"/>
          <w:sz w:val="24"/>
          <w:szCs w:val="24"/>
          <w:w w:val="100"/>
          <w:spacing w:val="0"/>
          <w:color w:val="000000"/>
          <w:position w:val="0"/>
        </w:rPr>
        <w:t xml:space="preserve"> Аскеров М.А. - Эксперт отдела Управления,</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от Заявителя - не явились, уведомлены надлежащим образом;</w:t>
      </w:r>
    </w:p>
    <w:p>
      <w:pPr>
        <w:pStyle w:val="Style8"/>
        <w:widowControl w:val="0"/>
        <w:keepNext w:val="0"/>
        <w:keepLines w:val="0"/>
        <w:shd w:val="clear" w:color="auto" w:fill="auto"/>
        <w:bidi w:val="0"/>
        <w:jc w:val="both"/>
        <w:spacing w:before="0" w:after="0" w:line="274" w:lineRule="exact"/>
        <w:ind w:left="20" w:right="20" w:firstLine="560"/>
      </w:pPr>
      <w:r>
        <w:rPr>
          <w:lang w:val="ru-RU" w:eastAsia="ru-RU" w:bidi="ru-RU"/>
          <w:sz w:val="24"/>
          <w:szCs w:val="24"/>
          <w:w w:val="100"/>
          <w:spacing w:val="0"/>
          <w:color w:val="000000"/>
          <w:position w:val="0"/>
        </w:rPr>
        <w:t>от Заказчика - Мошкин М.Н, по доверенности №49 от 04.07.2019, Гусарова Л.Ю. по доверенности №32 от 19.04.2019;</w:t>
      </w:r>
    </w:p>
    <w:p>
      <w:pPr>
        <w:pStyle w:val="Style8"/>
        <w:widowControl w:val="0"/>
        <w:keepNext w:val="0"/>
        <w:keepLines w:val="0"/>
        <w:shd w:val="clear" w:color="auto" w:fill="auto"/>
        <w:bidi w:val="0"/>
        <w:jc w:val="both"/>
        <w:spacing w:before="0" w:after="240" w:line="274" w:lineRule="exact"/>
        <w:ind w:left="20" w:right="0" w:firstLine="560"/>
      </w:pPr>
      <w:r>
        <w:rPr>
          <w:lang w:val="ru-RU" w:eastAsia="ru-RU" w:bidi="ru-RU"/>
          <w:sz w:val="24"/>
          <w:szCs w:val="24"/>
          <w:w w:val="100"/>
          <w:spacing w:val="0"/>
          <w:color w:val="000000"/>
          <w:position w:val="0"/>
        </w:rPr>
        <w:t>от Уполномоченного органа - Семенова А.С. по доверенности № 321 от 04.10.2018.</w:t>
      </w:r>
    </w:p>
    <w:p>
      <w:pPr>
        <w:pStyle w:val="Style8"/>
        <w:widowControl w:val="0"/>
        <w:keepNext w:val="0"/>
        <w:keepLines w:val="0"/>
        <w:shd w:val="clear" w:color="auto" w:fill="auto"/>
        <w:bidi w:val="0"/>
        <w:jc w:val="both"/>
        <w:spacing w:before="0" w:after="147" w:line="274" w:lineRule="exact"/>
        <w:ind w:left="20" w:right="20" w:firstLine="560"/>
      </w:pPr>
      <w:r>
        <w:rPr>
          <w:lang w:val="ru-RU" w:eastAsia="ru-RU" w:bidi="ru-RU"/>
          <w:sz w:val="24"/>
          <w:szCs w:val="24"/>
          <w:w w:val="100"/>
          <w:spacing w:val="0"/>
          <w:color w:val="000000"/>
          <w:position w:val="0"/>
        </w:rPr>
        <w:t>рассмотрев жалобу ООО «Оргремстрой» (ИНН 2221192343, ОГРН 2221115009016) от 28.06.2019 №1171-ж на действия Заказчика - МКУ «Управление капитального строительства», Уполномоченного органа - Администрация города Сургута, при проведении электронного аукциона, предметом которого является выполнение работ по строительству объекта "Средняя</w:t>
        <w:br w:type="page"/>
        <w:t>общеобразовательная школа в микрорайоне 33 г. Сургута" (извещение №0187300006519001225), 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widowControl w:val="0"/>
        <w:keepNext/>
        <w:keepLines/>
        <w:shd w:val="clear" w:color="auto" w:fill="auto"/>
        <w:bidi w:val="0"/>
        <w:spacing w:before="0" w:after="141" w:line="240" w:lineRule="exact"/>
        <w:ind w:left="20" w:right="0" w:firstLine="0"/>
      </w:pPr>
      <w:bookmarkStart w:id="0" w:name="bookmark0"/>
      <w:r>
        <w:rPr>
          <w:lang w:val="ru-RU" w:eastAsia="ru-RU" w:bidi="ru-RU"/>
          <w:sz w:val="24"/>
          <w:szCs w:val="24"/>
          <w:w w:val="100"/>
          <w:spacing w:val="0"/>
          <w:color w:val="000000"/>
          <w:position w:val="0"/>
        </w:rPr>
        <w:t>установила:</w:t>
      </w:r>
      <w:bookmarkEnd w:id="0"/>
    </w:p>
    <w:p>
      <w:pPr>
        <w:pStyle w:val="Style8"/>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Заявителя на действия Заказчика, Уполномоченного органа при проведении электронного аукциона.</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В своей жалобе Заявитель указал следующее.</w:t>
      </w:r>
    </w:p>
    <w:p>
      <w:pPr>
        <w:pStyle w:val="Style8"/>
        <w:numPr>
          <w:ilvl w:val="0"/>
          <w:numId w:val="3"/>
        </w:numPr>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 xml:space="preserve"> Согласно п. 14.2. проекта Контракта, «Размер штрафа устанавливается Контрактом в порядке, установленном пунктами 14.3 - 14.6, </w:t>
      </w:r>
      <w:r>
        <w:rPr>
          <w:rStyle w:val="CharStyle11"/>
        </w:rPr>
        <w:t xml:space="preserve">в виде </w:t>
      </w:r>
      <w:r>
        <w:rPr>
          <w:rStyle w:val="CharStyle16"/>
        </w:rPr>
        <w:t>фиксированной</w:t>
      </w:r>
      <w:r>
        <w:rPr>
          <w:rStyle w:val="CharStyle11"/>
        </w:rPr>
        <w:t xml:space="preserve"> суммы...»</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 xml:space="preserve">Согласно п. 14.3. проекта Контракта, «За каждый факт неисполнения или ненадлежащего исполнения Генподрядчиком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установленном порядке, за исключением просрочки исполнения обязательств (в том числе гарантийного обязательства), предусмотренных Контрактом, и устанавливается </w:t>
      </w:r>
      <w:r>
        <w:rPr>
          <w:rStyle w:val="CharStyle11"/>
        </w:rPr>
        <w:t xml:space="preserve">в виде </w:t>
      </w:r>
      <w:r>
        <w:rPr>
          <w:rStyle w:val="CharStyle16"/>
        </w:rPr>
        <w:t>фиксированной</w:t>
      </w:r>
      <w:r>
        <w:rPr>
          <w:rStyle w:val="CharStyle11"/>
        </w:rPr>
        <w:t xml:space="preserve"> суммы...».</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 xml:space="preserve">Согласно п. 14.5. проекта Контракта,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Pr>
          <w:rStyle w:val="CharStyle11"/>
        </w:rPr>
        <w:t xml:space="preserve">в виде </w:t>
      </w:r>
      <w:r>
        <w:rPr>
          <w:rStyle w:val="CharStyle16"/>
        </w:rPr>
        <w:t>фиксированной</w:t>
      </w:r>
      <w:r>
        <w:rPr>
          <w:rStyle w:val="CharStyle11"/>
        </w:rPr>
        <w:t xml:space="preserve"> суммы...»</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 xml:space="preserve">Согласно п. 14.6. проекта Контракта, «За каждый факт неисполнения или ненадлежащего исполнения Генподрядчиком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Style w:val="CharStyle11"/>
        </w:rPr>
        <w:t xml:space="preserve">в виде </w:t>
      </w:r>
      <w:r>
        <w:rPr>
          <w:rStyle w:val="CharStyle16"/>
        </w:rPr>
        <w:t>фиксированной</w:t>
      </w:r>
      <w:r>
        <w:rPr>
          <w:rStyle w:val="CharStyle11"/>
        </w:rPr>
        <w:t xml:space="preserve"> суммы </w:t>
      </w:r>
      <w:r>
        <w:rPr>
          <w:rStyle w:val="CharStyle17"/>
        </w:rPr>
        <w:t>...»</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Федеральным законом от 01.05.2019 года №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внесены изменения в ч.ч. 5,7 ст. 34 Закона о контрактной системе в части исключения слова "в виде фиксированной суммы».</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Следовательно, своими действиями Заказчик нарушил положения ст.34 Закона №44-ФЗ, что влияет на доступ к участию в закупке, поскольку создает дополнительные трудности при формировании предложений по исполнению контракта и влияет на решение об участии в закупке.</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Указанное нарушение Закона о контрактной системе свидетельствует о признаках административного правонарушения, ответственность за которое предусмотрена ч. 4.2 статьи 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240" w:line="274" w:lineRule="exact"/>
        <w:ind w:left="20" w:right="40" w:firstLine="740"/>
      </w:pPr>
      <w:r>
        <w:rPr>
          <w:lang w:val="ru-RU" w:eastAsia="ru-RU" w:bidi="ru-RU"/>
          <w:sz w:val="24"/>
          <w:szCs w:val="24"/>
          <w:w w:val="100"/>
          <w:spacing w:val="0"/>
          <w:color w:val="000000"/>
          <w:position w:val="0"/>
        </w:rPr>
        <w:t>Данный довод поддерживает Решение Брянского У ФАС России от «11» июня 2019 по делу № 032/06/64 - 769/2019.</w:t>
      </w:r>
    </w:p>
    <w:p>
      <w:pPr>
        <w:pStyle w:val="Style8"/>
        <w:numPr>
          <w:ilvl w:val="0"/>
          <w:numId w:val="3"/>
        </w:numPr>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 xml:space="preserve"> Предметом данной закупки является строительство объекта капитального строительства, что следует, в том числе требований к участникам закупки, из проектно-сметной документации, положений описания объекта закупки.</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Согласно п.1 ч.13 ст.34 Закона о контрактной системе, в контракт включаются обязательные условия о порядке и сроках оплаты товара, работы или услуги.</w:t>
      </w:r>
    </w:p>
    <w:p>
      <w:pPr>
        <w:pStyle w:val="Style8"/>
        <w:widowControl w:val="0"/>
        <w:keepNext w:val="0"/>
        <w:keepLines w:val="0"/>
        <w:shd w:val="clear" w:color="auto" w:fill="auto"/>
        <w:bidi w:val="0"/>
        <w:jc w:val="both"/>
        <w:spacing w:before="0" w:after="0" w:line="274" w:lineRule="exact"/>
        <w:ind w:left="20" w:right="40" w:firstLine="740"/>
      </w:pPr>
      <w:r>
        <w:rPr>
          <w:lang w:val="ru-RU" w:eastAsia="ru-RU" w:bidi="ru-RU"/>
          <w:sz w:val="24"/>
          <w:szCs w:val="24"/>
          <w:w w:val="100"/>
          <w:spacing w:val="0"/>
          <w:color w:val="000000"/>
          <w:position w:val="0"/>
        </w:rPr>
        <w:t xml:space="preserve">Согласно ч.5 ст. 110.2. Закона о контрактной системе, контракт, предметом которого являются строительство и (или) реконструкция объектов капитального строительства, должен содержать </w:t>
      </w:r>
      <w:r>
        <w:rPr>
          <w:rStyle w:val="CharStyle11"/>
        </w:rPr>
        <w:t xml:space="preserve">условие о поэтапной оплате </w:t>
      </w:r>
      <w:r>
        <w:rPr>
          <w:lang w:val="ru-RU" w:eastAsia="ru-RU" w:bidi="ru-RU"/>
          <w:sz w:val="24"/>
          <w:szCs w:val="24"/>
          <w:w w:val="100"/>
          <w:spacing w:val="0"/>
          <w:color w:val="000000"/>
          <w:position w:val="0"/>
        </w:rPr>
        <w:t>выполненных подрядчиком работ исходя из объема таких работ и цены контракта.</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В нарушении указанной нормы, проект Контракта условия о поэтапной оплате выполненных подрядчиком работ исходя из объема таких работ не содержит, что не дает однозначного представления о порядке оплаты.</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Следовательно, Заказчик ненадлежащим образом исполнил свои обязанности, установленные 4.13.ст.34, ст. 110.2 Закона о контрактной системе относительно сроков и порядка оплаты, сроков, исходных для определения санкций, что ограничивает количество участников закупки, поскольку создает дополнительные трудности при формировании предложений по исполнению контракта и влияет на решение об участии в закупке.</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Указанные нарушения приводит к необоснованному и неправомерному ограничению количества участников закупки, влияют на принятие решения об участии в закупке.</w:t>
      </w:r>
    </w:p>
    <w:p>
      <w:pPr>
        <w:pStyle w:val="Style8"/>
        <w:widowControl w:val="0"/>
        <w:keepNext w:val="0"/>
        <w:keepLines w:val="0"/>
        <w:shd w:val="clear" w:color="auto" w:fill="auto"/>
        <w:bidi w:val="0"/>
        <w:jc w:val="both"/>
        <w:spacing w:before="0" w:after="240" w:line="274" w:lineRule="exact"/>
        <w:ind w:left="20" w:right="40" w:firstLine="720"/>
      </w:pPr>
      <w:r>
        <w:rPr>
          <w:lang w:val="ru-RU" w:eastAsia="ru-RU" w:bidi="ru-RU"/>
          <w:sz w:val="24"/>
          <w:szCs w:val="24"/>
          <w:w w:val="100"/>
          <w:spacing w:val="0"/>
          <w:color w:val="000000"/>
          <w:position w:val="0"/>
        </w:rPr>
        <w:t>Подтверждают приведенные доводы: Решение Пензенского УФАС от 13.05.2019 делу № 058/06/106-184/2019; Решение Брянского УФАС России от «11» июня 2019 по делу № 032/06/64 - 769/2019.</w:t>
      </w:r>
    </w:p>
    <w:p>
      <w:pPr>
        <w:pStyle w:val="Style8"/>
        <w:numPr>
          <w:ilvl w:val="0"/>
          <w:numId w:val="3"/>
        </w:numPr>
        <w:tabs>
          <w:tab w:leader="none" w:pos="1134" w:val="left"/>
        </w:tabs>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Аукционная документация содержит в своем составе требования по поставке оборудования, технологически и функционально не связанного с предметом закупки (выполнение работ по строительству).</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Так, согласно Локальной смете №02-01-40 необходимо поставить следующее оборудование:</w:t>
      </w:r>
    </w:p>
    <w:p>
      <w:pPr>
        <w:pStyle w:val="Style8"/>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 xml:space="preserve"> п. 12, ц.36 - Облучатель-рециркулятор ультрафиолетовый бактерицидный настенный 3 лампы по 15 Вт, </w:t>
      </w:r>
      <w:r>
        <w:rPr>
          <w:lang w:val="en-US" w:eastAsia="en-US" w:bidi="en-US"/>
          <w:sz w:val="24"/>
          <w:szCs w:val="24"/>
          <w:w w:val="100"/>
          <w:spacing w:val="0"/>
          <w:color w:val="000000"/>
          <w:position w:val="0"/>
        </w:rPr>
        <w:t>N=0,06</w:t>
      </w:r>
      <w:r>
        <w:rPr>
          <w:rStyle w:val="CharStyle18"/>
        </w:rPr>
        <w:t>kBt,</w:t>
      </w:r>
      <w:r>
        <w:rPr>
          <w:lang w:val="en-US" w:eastAsia="en-US" w:bidi="en-US"/>
          <w:sz w:val="24"/>
          <w:szCs w:val="24"/>
          <w:w w:val="100"/>
          <w:spacing w:val="0"/>
          <w:color w:val="000000"/>
          <w:position w:val="0"/>
        </w:rPr>
        <w:t xml:space="preserve"> U=220B, </w:t>
      </w:r>
      <w:r>
        <w:rPr>
          <w:lang w:val="ru-RU" w:eastAsia="ru-RU" w:bidi="ru-RU"/>
          <w:sz w:val="24"/>
          <w:szCs w:val="24"/>
          <w:w w:val="100"/>
          <w:spacing w:val="0"/>
          <w:color w:val="000000"/>
          <w:position w:val="0"/>
        </w:rPr>
        <w:t xml:space="preserve">г.р. </w:t>
      </w:r>
      <w:r>
        <w:rPr>
          <w:lang w:val="en-US" w:eastAsia="en-US" w:bidi="en-US"/>
          <w:sz w:val="24"/>
          <w:szCs w:val="24"/>
          <w:w w:val="100"/>
          <w:spacing w:val="0"/>
          <w:color w:val="000000"/>
          <w:position w:val="0"/>
        </w:rPr>
        <w:t xml:space="preserve">890x370x140 </w:t>
      </w:r>
      <w:r>
        <w:rPr>
          <w:lang w:val="ru-RU" w:eastAsia="ru-RU" w:bidi="ru-RU"/>
          <w:sz w:val="24"/>
          <w:szCs w:val="24"/>
          <w:w w:val="100"/>
          <w:spacing w:val="0"/>
          <w:color w:val="000000"/>
          <w:position w:val="0"/>
        </w:rPr>
        <w:t>мм, масса 7 кг</w:t>
      </w:r>
    </w:p>
    <w:p>
      <w:pPr>
        <w:pStyle w:val="Style8"/>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 xml:space="preserve"> п.25, п.30. п.ЗЗ - Облучатель бактерицидный: настенный под ультрафиолетовую лампу ОБН-2хЗО Вт</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п.26, п.31, п.34 - Лампы бактерицидные ультрафиолетовые типа ДМБ 30 (10 шт)"</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п.37 - Кресло: стоматологическое с электромеханическим приводом</w:t>
      </w:r>
    </w:p>
    <w:p>
      <w:pPr>
        <w:pStyle w:val="Style8"/>
        <w:numPr>
          <w:ilvl w:val="0"/>
          <w:numId w:val="1"/>
        </w:numPr>
        <w:tabs>
          <w:tab w:leader="none" w:pos="2146" w:val="left"/>
        </w:tabs>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п.38 -</w:t>
        <w:tab/>
        <w:t>Комплект оборудования рабочего места стоматолога (компл.)</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п.40 - Установка стоматологическая,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2,0 кВт, </w:t>
      </w:r>
      <w:r>
        <w:rPr>
          <w:lang w:val="en-US" w:eastAsia="en-US" w:bidi="en-US"/>
          <w:sz w:val="24"/>
          <w:szCs w:val="24"/>
          <w:w w:val="100"/>
          <w:spacing w:val="0"/>
          <w:color w:val="000000"/>
          <w:position w:val="0"/>
        </w:rPr>
        <w:t xml:space="preserve">U= </w:t>
      </w:r>
      <w:r>
        <w:rPr>
          <w:lang w:val="ru-RU" w:eastAsia="ru-RU" w:bidi="ru-RU"/>
          <w:sz w:val="24"/>
          <w:szCs w:val="24"/>
          <w:w w:val="100"/>
          <w:spacing w:val="0"/>
          <w:color w:val="000000"/>
          <w:position w:val="0"/>
        </w:rPr>
        <w:t>220 В, г.р. 2005х 1400х</w:t>
      </w:r>
      <w:r>
        <w:rPr>
          <w:lang w:val="en-US" w:eastAsia="en-US" w:bidi="en-US"/>
          <w:sz w:val="24"/>
          <w:szCs w:val="24"/>
          <w:w w:val="100"/>
          <w:spacing w:val="0"/>
          <w:color w:val="000000"/>
          <w:position w:val="0"/>
        </w:rPr>
        <w:t xml:space="preserve">2200(h) </w:t>
      </w:r>
      <w:r>
        <w:rPr>
          <w:lang w:val="ru-RU" w:eastAsia="ru-RU" w:bidi="ru-RU"/>
          <w:sz w:val="24"/>
          <w:szCs w:val="24"/>
          <w:w w:val="100"/>
          <w:spacing w:val="0"/>
          <w:color w:val="000000"/>
          <w:position w:val="0"/>
        </w:rPr>
        <w:t>мм.</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В комплекте: Кресло стоматологическое электромеханическое с артикуляционным</w:t>
      </w:r>
    </w:p>
    <w:p>
      <w:pPr>
        <w:pStyle w:val="Style8"/>
        <w:widowControl w:val="0"/>
        <w:keepNext w:val="0"/>
        <w:keepLines w:val="0"/>
        <w:shd w:val="clear" w:color="auto" w:fill="auto"/>
        <w:bidi w:val="0"/>
        <w:jc w:val="both"/>
        <w:spacing w:before="0" w:after="0" w:line="274" w:lineRule="exact"/>
        <w:ind w:left="20" w:right="40" w:firstLine="0"/>
      </w:pPr>
      <w:r>
        <w:rPr>
          <w:lang w:val="ru-RU" w:eastAsia="ru-RU" w:bidi="ru-RU"/>
          <w:sz w:val="24"/>
          <w:szCs w:val="24"/>
          <w:w w:val="100"/>
          <w:spacing w:val="0"/>
          <w:color w:val="000000"/>
          <w:position w:val="0"/>
        </w:rPr>
        <w:t>подголовником, регулируемым по высоте и в плоскости; Модуль врача на 5 инструментов: пистолет вода-воздух-спрей, электрический микромотор, скейлер ультразвуковой электрический, два рукава для турбинных наконечников, негатоскоп, панель управления креслом, подача дистиллированной воды на инструменты, поворотная стойка с пантографическим плечом для крепления на кресле; Гидроблок. Комплектуется пылесосом, слюноотсосом эжекторного типа, светильником и плевательницей. Коммутационный блок для подключения к канализации и водопроводу (комплект)"</w:t>
      </w:r>
    </w:p>
    <w:p>
      <w:pPr>
        <w:pStyle w:val="Style8"/>
        <w:tabs>
          <w:tab w:leader="none" w:pos="2146" w:val="left"/>
          <w:tab w:leader="none" w:pos="10201" w:val="right"/>
        </w:tabs>
        <w:widowControl w:val="0"/>
        <w:keepNext w:val="0"/>
        <w:keepLines w:val="0"/>
        <w:shd w:val="clear" w:color="auto" w:fill="auto"/>
        <w:bidi w:val="0"/>
        <w:jc w:val="both"/>
        <w:spacing w:before="0" w:after="0" w:line="274" w:lineRule="exact"/>
        <w:ind w:left="20" w:right="0" w:firstLine="720"/>
      </w:pPr>
      <w:r>
        <w:rPr>
          <w:rStyle w:val="CharStyle19"/>
        </w:rPr>
        <w:t>-п.41-</w:t>
      </w:r>
      <w:r>
        <w:rPr>
          <w:lang w:val="ru-RU" w:eastAsia="ru-RU" w:bidi="ru-RU"/>
          <w:sz w:val="24"/>
          <w:szCs w:val="24"/>
          <w:w w:val="100"/>
          <w:spacing w:val="0"/>
          <w:color w:val="000000"/>
          <w:position w:val="0"/>
        </w:rPr>
        <w:tab/>
        <w:t>Аппарат светоотверждения пломбировочных материалов</w:t>
        <w:tab/>
        <w:t>светодиодный</w:t>
      </w:r>
    </w:p>
    <w:p>
      <w:pPr>
        <w:pStyle w:val="Style8"/>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(комплект)</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п.42 - Стул врача (комплект)</w:t>
      </w:r>
    </w:p>
    <w:p>
      <w:pPr>
        <w:pStyle w:val="Style8"/>
        <w:numPr>
          <w:ilvl w:val="0"/>
          <w:numId w:val="1"/>
        </w:numPr>
        <w:tabs>
          <w:tab w:leader="none" w:pos="2146" w:val="left"/>
        </w:tabs>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 xml:space="preserve"> п.43 -</w:t>
        <w:tab/>
        <w:t>Столик с УФ-бактерицидным облучателем для хранения простерилизованных инструментов. Один ящик с УФ-облучателем для 8 наборов (комплект)</w:t>
      </w:r>
    </w:p>
    <w:p>
      <w:pPr>
        <w:pStyle w:val="Style8"/>
        <w:widowControl w:val="0"/>
        <w:keepNext w:val="0"/>
        <w:keepLines w:val="0"/>
        <w:shd w:val="clear" w:color="auto" w:fill="auto"/>
        <w:bidi w:val="0"/>
        <w:jc w:val="both"/>
        <w:spacing w:before="0" w:after="0" w:line="274" w:lineRule="exact"/>
        <w:ind w:left="20" w:right="0" w:firstLine="0"/>
      </w:pPr>
      <w:r>
        <w:rPr>
          <w:rStyle w:val="CharStyle19"/>
        </w:rPr>
        <w:t>ит.д</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w:t>
        <w:softHyphen/>
        <w:t>ния лучших условий поставок товаров, выполнения работ, оказания услуг. Запрещается соверше</w:t>
        <w:softHyphen/>
        <w:t>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w:t>
        <w:softHyphen/>
        <w:t>торые противоречат требованиям Закона о контрактной системе, в том числе приводят к ограни</w:t>
        <w:softHyphen/>
        <w:t>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w:t>
        <w:softHyphen/>
        <w:t>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Пунктом 1.2 Положения об организации строительства объектов «под ключ», утвержденного Постановлением Госстроя СССР от 10.11.1989 г. № 147, предусматривается понятие «строительство объектов «под ключ».</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Метод строительства объектов «под ключ» предусматривает обеспечение сооружения объектов, подготовленных к эксплуатации или оказанию услуг, на основе сосредоточения функций управления всеми стадиями инвестиционного процесса в одной организационной структуре и осуществляется как единый непрерывный комплексный процесс создания готовой строительной продукции (проектирование - выполнение строительных и монтажных работ, включая комплектацию строек технологическим и инженерным оборудованием - ввод в эксплуатацию).</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Таким образом, при осуществлении строительства объекта «под ключ» заказчик вправе предусмотреть в документации о торгах необходимость поставки и монтажа оборудования, нераз</w:t>
        <w:softHyphen/>
        <w:t>рывно связанного с объектом строительства. При этом в качестве неразрывно связанного с объектом строительства оборудования необходимо рассматривать оборудование, поставка и установка которого невозможна впоследствии без изменения предусмотренных проектом конструктивных решений объекта строительства.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В предмет же данной закупки включена поставки вышеуказанного оборудования, не связанного с процессом строительства.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Поскольку не имеется правовых оснований для отнесения мебели, медицинского оборудования к технологическому и инженерному оборудованию, предъявленное в аукционной документации требование к обеспечению объекта строительства вышеперечисленными предметами ограничивает доступ к аукциону хозяйствующих субъектов, осуществляющих деятельность на рынке по производству и поставке медицинского оборудования, но не являющихся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8"/>
        <w:tabs>
          <w:tab w:leader="none" w:pos="4619" w:val="left"/>
        </w:tabs>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Исходя из пункта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нужд от 28.06.2017</w:t>
        <w:tab/>
        <w:t>г., следует, что заказчик вправе устанавливать</w:t>
      </w:r>
    </w:p>
    <w:p>
      <w:pPr>
        <w:pStyle w:val="Style8"/>
        <w:widowControl w:val="0"/>
        <w:keepNext w:val="0"/>
        <w:keepLines w:val="0"/>
        <w:shd w:val="clear" w:color="auto" w:fill="auto"/>
        <w:bidi w:val="0"/>
        <w:jc w:val="both"/>
        <w:spacing w:before="0" w:after="0" w:line="274" w:lineRule="exact"/>
        <w:ind w:left="40" w:right="40" w:firstLine="0"/>
      </w:pPr>
      <w:r>
        <w:rPr>
          <w:lang w:val="ru-RU" w:eastAsia="ru-RU" w:bidi="ru-RU"/>
          <w:sz w:val="24"/>
          <w:szCs w:val="24"/>
          <w:w w:val="100"/>
          <w:spacing w:val="0"/>
          <w:color w:val="000000"/>
          <w:position w:val="0"/>
        </w:rPr>
        <w:t>дополнительные требования к объекту закупки в аукционной документации, если их соблюдение необходимо для удовлетворения потребностей заказчика и они носят объективный характер. Пункт 1 Обзора судебной практики, также содержит указание на то, что из буквального толкования положений статьи 33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 При этом, в пример приводится ситуация, из которой четко следует объективная потребность заказчика в установлении таких ограничений, продиктованная невозможностью осуществления закупки в ином виде, чего нет в случае проведения рассматриваемой закупки.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Следовательно, в один предмет закупки объединены строительные работы и поставка товаров, технологически и функционально не связанных с объектом строительства, что ограничивает количество участников закупки и не соответствует требованиям пункта 2 части 1 статьи 64 и пункта 1 части 1 статьи 33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240" w:line="274" w:lineRule="exact"/>
        <w:ind w:left="20" w:right="40" w:firstLine="720"/>
      </w:pPr>
      <w:r>
        <w:rPr>
          <w:lang w:val="ru-RU" w:eastAsia="ru-RU" w:bidi="ru-RU"/>
          <w:sz w:val="24"/>
          <w:szCs w:val="24"/>
          <w:w w:val="100"/>
          <w:spacing w:val="0"/>
          <w:color w:val="000000"/>
          <w:position w:val="0"/>
        </w:rPr>
        <w:t>Подтверждение позиции - Решение Ульяновского УФАС России от 28.03.2019 по делу № 073/06/44-15561/2019; Решение УФАС по Чувашской Республике по делу № 14-К-2017 от 22.02.2017; Решение УФАС по Республике Бурятия от 14.03.2017 по жалобе № 04-50/34-2017.</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4. Локальная смета Локальной смете №02-01-40 предусматривает поставку товаров, относящихся к категории «Медицинские изделия»:</w:t>
      </w:r>
    </w:p>
    <w:p>
      <w:pPr>
        <w:pStyle w:val="Style8"/>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 xml:space="preserve"> п. </w:t>
      </w:r>
      <w:r>
        <w:rPr>
          <w:rStyle w:val="CharStyle20"/>
        </w:rPr>
        <w:t xml:space="preserve">12, </w:t>
      </w:r>
      <w:r>
        <w:rPr>
          <w:lang w:val="ru-RU" w:eastAsia="ru-RU" w:bidi="ru-RU"/>
          <w:sz w:val="24"/>
          <w:szCs w:val="24"/>
          <w:w w:val="100"/>
          <w:spacing w:val="0"/>
          <w:color w:val="000000"/>
          <w:position w:val="0"/>
        </w:rPr>
        <w:t xml:space="preserve">п. </w:t>
      </w:r>
      <w:r>
        <w:rPr>
          <w:rStyle w:val="CharStyle20"/>
        </w:rPr>
        <w:t xml:space="preserve">36 </w:t>
      </w:r>
      <w:r>
        <w:rPr>
          <w:lang w:val="ru-RU" w:eastAsia="ru-RU" w:bidi="ru-RU"/>
          <w:sz w:val="24"/>
          <w:szCs w:val="24"/>
          <w:w w:val="100"/>
          <w:spacing w:val="0"/>
          <w:color w:val="000000"/>
          <w:position w:val="0"/>
        </w:rPr>
        <w:t xml:space="preserve">- Облучатель-рециркулятор ультрафиолетовый бактерицидный настенный </w:t>
      </w:r>
      <w:r>
        <w:rPr>
          <w:rStyle w:val="CharStyle20"/>
        </w:rPr>
        <w:t xml:space="preserve">3 </w:t>
      </w:r>
      <w:r>
        <w:rPr>
          <w:lang w:val="ru-RU" w:eastAsia="ru-RU" w:bidi="ru-RU"/>
          <w:sz w:val="24"/>
          <w:szCs w:val="24"/>
          <w:w w:val="100"/>
          <w:spacing w:val="0"/>
          <w:color w:val="000000"/>
          <w:position w:val="0"/>
        </w:rPr>
        <w:t xml:space="preserve">лампы по </w:t>
      </w:r>
      <w:r>
        <w:rPr>
          <w:rStyle w:val="CharStyle20"/>
        </w:rPr>
        <w:t xml:space="preserve">15 </w:t>
      </w:r>
      <w:r>
        <w:rPr>
          <w:lang w:val="ru-RU" w:eastAsia="ru-RU" w:bidi="ru-RU"/>
          <w:sz w:val="24"/>
          <w:szCs w:val="24"/>
          <w:w w:val="100"/>
          <w:spacing w:val="0"/>
          <w:color w:val="000000"/>
          <w:position w:val="0"/>
        </w:rPr>
        <w:t xml:space="preserve">Вт, </w:t>
      </w:r>
      <w:r>
        <w:rPr>
          <w:rStyle w:val="CharStyle21"/>
        </w:rPr>
        <w:t xml:space="preserve">N=0,06kBt, </w:t>
      </w:r>
      <w:r>
        <w:rPr>
          <w:lang w:val="en-US" w:eastAsia="en-US" w:bidi="en-US"/>
          <w:sz w:val="24"/>
          <w:szCs w:val="24"/>
          <w:w w:val="100"/>
          <w:spacing w:val="0"/>
          <w:color w:val="000000"/>
          <w:position w:val="0"/>
        </w:rPr>
        <w:t xml:space="preserve">U=220B, </w:t>
      </w:r>
      <w:r>
        <w:rPr>
          <w:lang w:val="ru-RU" w:eastAsia="ru-RU" w:bidi="ru-RU"/>
          <w:sz w:val="24"/>
          <w:szCs w:val="24"/>
          <w:w w:val="100"/>
          <w:spacing w:val="0"/>
          <w:color w:val="000000"/>
          <w:position w:val="0"/>
        </w:rPr>
        <w:t xml:space="preserve">г.р. </w:t>
      </w:r>
      <w:r>
        <w:rPr>
          <w:rStyle w:val="CharStyle20"/>
          <w:lang w:val="en-US" w:eastAsia="en-US" w:bidi="en-US"/>
        </w:rPr>
        <w:t xml:space="preserve">890x370x140 </w:t>
      </w:r>
      <w:r>
        <w:rPr>
          <w:lang w:val="ru-RU" w:eastAsia="ru-RU" w:bidi="ru-RU"/>
          <w:sz w:val="24"/>
          <w:szCs w:val="24"/>
          <w:w w:val="100"/>
          <w:spacing w:val="0"/>
          <w:color w:val="000000"/>
          <w:position w:val="0"/>
        </w:rPr>
        <w:t xml:space="preserve">мм, масса </w:t>
      </w:r>
      <w:r>
        <w:rPr>
          <w:rStyle w:val="CharStyle20"/>
        </w:rPr>
        <w:t xml:space="preserve">7 </w:t>
      </w:r>
      <w:r>
        <w:rPr>
          <w:lang w:val="ru-RU" w:eastAsia="ru-RU" w:bidi="ru-RU"/>
          <w:sz w:val="24"/>
          <w:szCs w:val="24"/>
          <w:w w:val="100"/>
          <w:spacing w:val="0"/>
          <w:color w:val="000000"/>
          <w:position w:val="0"/>
        </w:rPr>
        <w:t>кг</w:t>
      </w:r>
    </w:p>
    <w:p>
      <w:pPr>
        <w:pStyle w:val="Style8"/>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 xml:space="preserve"> п.25, п.30. п.ЗЗ - Облучатель бактерицидный: настенный под ультрафиолетовую лампу ОБН-2хЗО Вт</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п.26, п.31, п.34 - Лампы бактерицидные ультрафиолетовые типа ДМБ 30 (10 шт)"</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п.37 - Кресло: стоматологическое с электромеханическим приводом</w:t>
      </w:r>
    </w:p>
    <w:p>
      <w:pPr>
        <w:pStyle w:val="Style8"/>
        <w:numPr>
          <w:ilvl w:val="0"/>
          <w:numId w:val="1"/>
        </w:numPr>
        <w:tabs>
          <w:tab w:leader="none" w:pos="2614" w:val="center"/>
          <w:tab w:leader="none" w:pos="4666" w:val="right"/>
          <w:tab w:leader="none" w:pos="5185" w:val="center"/>
          <w:tab w:leader="none" w:pos="5784" w:val="left"/>
        </w:tabs>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п.38 -</w:t>
        <w:tab/>
        <w:t>Комплект</w:t>
        <w:tab/>
        <w:t>оборудования</w:t>
        <w:tab/>
        <w:t>рабочего</w:t>
        <w:tab/>
        <w:t>места стоматолога (компл.)</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п.40 - Установка стоматологическая,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2,0 кВт, </w:t>
      </w:r>
      <w:r>
        <w:rPr>
          <w:lang w:val="en-US" w:eastAsia="en-US" w:bidi="en-US"/>
          <w:sz w:val="24"/>
          <w:szCs w:val="24"/>
          <w:w w:val="100"/>
          <w:spacing w:val="0"/>
          <w:color w:val="000000"/>
          <w:position w:val="0"/>
        </w:rPr>
        <w:t xml:space="preserve">U= </w:t>
      </w:r>
      <w:r>
        <w:rPr>
          <w:lang w:val="ru-RU" w:eastAsia="ru-RU" w:bidi="ru-RU"/>
          <w:sz w:val="24"/>
          <w:szCs w:val="24"/>
          <w:w w:val="100"/>
          <w:spacing w:val="0"/>
          <w:color w:val="000000"/>
          <w:position w:val="0"/>
        </w:rPr>
        <w:t xml:space="preserve">220 В, г.р. 2005 * </w:t>
      </w:r>
      <w:r>
        <w:rPr>
          <w:lang w:val="en-US" w:eastAsia="en-US" w:bidi="en-US"/>
          <w:sz w:val="24"/>
          <w:szCs w:val="24"/>
          <w:w w:val="100"/>
          <w:spacing w:val="0"/>
          <w:color w:val="000000"/>
          <w:position w:val="0"/>
        </w:rPr>
        <w:t xml:space="preserve">1400&gt;&lt;2200(h) </w:t>
      </w:r>
      <w:r>
        <w:rPr>
          <w:lang w:val="ru-RU" w:eastAsia="ru-RU" w:bidi="ru-RU"/>
          <w:sz w:val="24"/>
          <w:szCs w:val="24"/>
          <w:w w:val="100"/>
          <w:spacing w:val="0"/>
          <w:color w:val="000000"/>
          <w:position w:val="0"/>
        </w:rPr>
        <w:t>мм.</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В комплекте: Кресло стоматологическое электромеханическое с артикуляционным</w:t>
      </w:r>
    </w:p>
    <w:p>
      <w:pPr>
        <w:pStyle w:val="Style8"/>
        <w:widowControl w:val="0"/>
        <w:keepNext w:val="0"/>
        <w:keepLines w:val="0"/>
        <w:shd w:val="clear" w:color="auto" w:fill="auto"/>
        <w:bidi w:val="0"/>
        <w:jc w:val="both"/>
        <w:spacing w:before="0" w:after="0" w:line="274" w:lineRule="exact"/>
        <w:ind w:left="20" w:right="40" w:firstLine="0"/>
      </w:pPr>
      <w:r>
        <w:rPr>
          <w:lang w:val="ru-RU" w:eastAsia="ru-RU" w:bidi="ru-RU"/>
          <w:sz w:val="24"/>
          <w:szCs w:val="24"/>
          <w:w w:val="100"/>
          <w:spacing w:val="0"/>
          <w:color w:val="000000"/>
          <w:position w:val="0"/>
        </w:rPr>
        <w:t>подголовником, регулируемым по высоте и в плоскости; Модуль врача на 5 инструментов: пистолет вода-воздух-спрей, электрический микромотор, скейлер ультразвуковой электрический, два рукава для турбинных наконечников, негатоскоп, панель управления креслом, подача дистиллированной воды на инструменты, поворотная стойка с пантографическим плечом для крепления на кресле; Гидроблок. Комплектуется пылесосом, слюноотсосом эжекторного типа, светильником и плевательницей. Коммутационный блок для подключения к канализации и водопроводу (комплект)"</w:t>
      </w:r>
    </w:p>
    <w:p>
      <w:pPr>
        <w:pStyle w:val="Style8"/>
        <w:tabs>
          <w:tab w:leader="none" w:pos="2175" w:val="left"/>
        </w:tabs>
        <w:widowControl w:val="0"/>
        <w:keepNext w:val="0"/>
        <w:keepLines w:val="0"/>
        <w:shd w:val="clear" w:color="auto" w:fill="auto"/>
        <w:bidi w:val="0"/>
        <w:jc w:val="both"/>
        <w:spacing w:before="0" w:after="0" w:line="274" w:lineRule="exact"/>
        <w:ind w:left="20" w:right="0" w:firstLine="720"/>
      </w:pPr>
      <w:r>
        <w:rPr>
          <w:rStyle w:val="CharStyle22"/>
        </w:rPr>
        <w:t>-п.41-</w:t>
      </w:r>
      <w:r>
        <w:rPr>
          <w:lang w:val="ru-RU" w:eastAsia="ru-RU" w:bidi="ru-RU"/>
          <w:sz w:val="24"/>
          <w:szCs w:val="24"/>
          <w:w w:val="100"/>
          <w:spacing w:val="0"/>
          <w:color w:val="000000"/>
          <w:position w:val="0"/>
        </w:rPr>
        <w:tab/>
        <w:t>Аппарат светоотверждения пломбировочных материалов светодиодный</w:t>
      </w:r>
    </w:p>
    <w:p>
      <w:pPr>
        <w:pStyle w:val="Style8"/>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(комплект)</w:t>
      </w:r>
    </w:p>
    <w:p>
      <w:pPr>
        <w:pStyle w:val="Style8"/>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п.42 - Стул врача (комплект)</w:t>
      </w:r>
    </w:p>
    <w:p>
      <w:pPr>
        <w:pStyle w:val="Style8"/>
        <w:numPr>
          <w:ilvl w:val="0"/>
          <w:numId w:val="1"/>
        </w:numPr>
        <w:tabs>
          <w:tab w:leader="none" w:pos="2614" w:val="center"/>
          <w:tab w:leader="none" w:pos="3072" w:val="left"/>
        </w:tabs>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п.43 -</w:t>
        <w:tab/>
        <w:t>Столик</w:t>
        <w:tab/>
        <w:t>с УФ-бактерйцидным облучателем для хранения простерилизованных</w:t>
      </w:r>
    </w:p>
    <w:p>
      <w:pPr>
        <w:pStyle w:val="Style8"/>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инструментов. Один ящик с УФ-облучателем для 8 наборов (комплект).</w:t>
      </w:r>
    </w:p>
    <w:p>
      <w:pPr>
        <w:pStyle w:val="Style8"/>
        <w:tabs>
          <w:tab w:leader="none" w:pos="5228" w:val="left"/>
        </w:tabs>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Аукционная документация должна содержать при этом информацию об условиях, запретах и ограничениях допуска товаров, происходящих из иностранного государства или группы иностранных государств, установленные в соответствии со ст. 14 Закона №44-ФЗ: о применении ограничения допуска товаров, установленные Постановлением Правительства РФ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(Например, облучатель бактерицидный соответствуют кодам (ОКПД) ОК034-2007: 29.23.13.110, 29.23.14.113; коду (ОКПД 2) ОК0234-2014 - 28.25.14.110), а так же указание на наличие документов (или копий таких документов), подтверждающие соответствие товара требованиям, установленным в соответствии с законодательством Российской Федерации:</w:t>
        <w:tab/>
        <w:t>копия регистрационного удостоверения на</w:t>
      </w:r>
    </w:p>
    <w:p>
      <w:pPr>
        <w:pStyle w:val="Style8"/>
        <w:widowControl w:val="0"/>
        <w:keepNext w:val="0"/>
        <w:keepLines w:val="0"/>
        <w:shd w:val="clear" w:color="auto" w:fill="auto"/>
        <w:bidi w:val="0"/>
        <w:jc w:val="both"/>
        <w:spacing w:before="0" w:after="0" w:line="274" w:lineRule="exact"/>
        <w:ind w:left="20" w:right="40" w:firstLine="0"/>
      </w:pPr>
      <w:r>
        <w:rPr>
          <w:lang w:val="ru-RU" w:eastAsia="ru-RU" w:bidi="ru-RU"/>
          <w:sz w:val="24"/>
          <w:szCs w:val="24"/>
          <w:w w:val="100"/>
          <w:spacing w:val="0"/>
          <w:color w:val="000000"/>
          <w:position w:val="0"/>
        </w:rPr>
        <w:t>медицинское изделие, подлежащее обращению на территории Российской Федерации предлагаемого к поставке участником закупки, или информация о таком удостоверении.</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Документация о закупке такой информации не содержит, что нарушает положения п. 1 ч. 1 ст.ЗЗ и ч.З ст. 14 Закона о контрактной системе №44-ФЗ.</w:t>
      </w:r>
    </w:p>
    <w:p>
      <w:pPr>
        <w:pStyle w:val="Style3"/>
        <w:widowControl w:val="0"/>
        <w:keepNext w:val="0"/>
        <w:keepLines w:val="0"/>
        <w:shd w:val="clear" w:color="auto" w:fill="auto"/>
        <w:bidi w:val="0"/>
        <w:jc w:val="both"/>
        <w:spacing w:before="0" w:after="0" w:line="274" w:lineRule="exact"/>
        <w:ind w:left="20" w:right="40" w:firstLine="600"/>
      </w:pPr>
      <w:r>
        <w:rPr>
          <w:lang w:val="ru-RU" w:eastAsia="ru-RU" w:bidi="ru-RU"/>
          <w:sz w:val="24"/>
          <w:szCs w:val="24"/>
          <w:w w:val="100"/>
          <w:spacing w:val="0"/>
          <w:color w:val="000000"/>
          <w:position w:val="0"/>
        </w:rPr>
        <w:t>В ходе рассмотрения доводов Заявителя Комиссией Управления установлено следующее.</w:t>
      </w:r>
    </w:p>
    <w:p>
      <w:pPr>
        <w:pStyle w:val="Style8"/>
        <w:widowControl w:val="0"/>
        <w:keepNext w:val="0"/>
        <w:keepLines w:val="0"/>
        <w:shd w:val="clear" w:color="auto" w:fill="auto"/>
        <w:bidi w:val="0"/>
        <w:jc w:val="both"/>
        <w:spacing w:before="0" w:after="0" w:line="274" w:lineRule="exact"/>
        <w:ind w:left="20" w:right="40" w:firstLine="600"/>
      </w:pPr>
      <w:r>
        <w:rPr>
          <w:lang w:val="ru-RU" w:eastAsia="ru-RU" w:bidi="ru-RU"/>
          <w:sz w:val="24"/>
          <w:szCs w:val="24"/>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Извещение и аукционная документация о проведении электронного аукциона, предметом которого является выполнение работ по строительству объекта "Средняя общеобразовательная школа в микрорайоне 33 г. Сургута" (извещение №0187300006519001225) размещены на официальном сайте единой информационной системы 13.06.2019.</w:t>
      </w:r>
    </w:p>
    <w:p>
      <w:pPr>
        <w:pStyle w:val="Style8"/>
        <w:widowControl w:val="0"/>
        <w:keepNext w:val="0"/>
        <w:keepLines w:val="0"/>
        <w:shd w:val="clear" w:color="auto" w:fill="auto"/>
        <w:bidi w:val="0"/>
        <w:jc w:val="both"/>
        <w:spacing w:before="0" w:after="0" w:line="274" w:lineRule="exact"/>
        <w:ind w:left="40" w:right="20" w:firstLine="740"/>
      </w:pPr>
      <w:r>
        <w:rPr>
          <w:lang w:val="ru-RU" w:eastAsia="ru-RU" w:bidi="ru-RU"/>
          <w:sz w:val="24"/>
          <w:szCs w:val="24"/>
          <w:w w:val="100"/>
          <w:spacing w:val="0"/>
          <w:color w:val="000000"/>
          <w:position w:val="0"/>
        </w:rPr>
        <w:t>В соответствии с пунктом 5 статьи 34 Закона о контрактной системе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Данный порядок утвержден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-Правила).</w:t>
      </w:r>
    </w:p>
    <w:p>
      <w:pPr>
        <w:pStyle w:val="Style8"/>
        <w:widowControl w:val="0"/>
        <w:keepNext w:val="0"/>
        <w:keepLines w:val="0"/>
        <w:shd w:val="clear" w:color="auto" w:fill="auto"/>
        <w:bidi w:val="0"/>
        <w:jc w:val="both"/>
        <w:spacing w:before="0" w:after="0" w:line="274" w:lineRule="exact"/>
        <w:ind w:left="40" w:right="20" w:firstLine="740"/>
      </w:pPr>
      <w:r>
        <w:rPr>
          <w:lang w:val="ru-RU" w:eastAsia="ru-RU" w:bidi="ru-RU"/>
          <w:sz w:val="24"/>
          <w:szCs w:val="24"/>
          <w:w w:val="100"/>
          <w:spacing w:val="0"/>
          <w:color w:val="000000"/>
          <w:position w:val="0"/>
        </w:rPr>
        <w:t>Согласно пункту 2 Правил размер штрафа устанавливается контрактом в порядке, установленном пунктами 3-9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pPr>
        <w:pStyle w:val="Style8"/>
        <w:widowControl w:val="0"/>
        <w:keepNext w:val="0"/>
        <w:keepLines w:val="0"/>
        <w:shd w:val="clear" w:color="auto" w:fill="auto"/>
        <w:bidi w:val="0"/>
        <w:jc w:val="both"/>
        <w:spacing w:before="0" w:after="0" w:line="274" w:lineRule="exact"/>
        <w:ind w:left="40" w:right="20" w:firstLine="740"/>
      </w:pPr>
      <w:r>
        <w:rPr>
          <w:lang w:val="ru-RU" w:eastAsia="ru-RU" w:bidi="ru-RU"/>
          <w:sz w:val="24"/>
          <w:szCs w:val="24"/>
          <w:w w:val="100"/>
          <w:spacing w:val="0"/>
          <w:color w:val="000000"/>
          <w:position w:val="0"/>
        </w:rPr>
        <w:t>В проекте контракта в разделе 14 размеры штрафов за нарушение сторонами контракта своих обязательств указаны в виде фиксированной суммы на основании пунктов 3, 5, 9 вышеуказанного постановления.</w:t>
      </w:r>
    </w:p>
    <w:p>
      <w:pPr>
        <w:pStyle w:val="Style8"/>
        <w:widowControl w:val="0"/>
        <w:keepNext w:val="0"/>
        <w:keepLines w:val="0"/>
        <w:shd w:val="clear" w:color="auto" w:fill="auto"/>
        <w:bidi w:val="0"/>
        <w:jc w:val="both"/>
        <w:spacing w:before="0" w:after="240" w:line="274" w:lineRule="exact"/>
        <w:ind w:left="40" w:right="20" w:firstLine="740"/>
      </w:pPr>
      <w:r>
        <w:rPr>
          <w:lang w:val="ru-RU" w:eastAsia="ru-RU" w:bidi="ru-RU"/>
          <w:sz w:val="24"/>
          <w:szCs w:val="24"/>
          <w:w w:val="100"/>
          <w:spacing w:val="0"/>
          <w:color w:val="000000"/>
          <w:position w:val="0"/>
        </w:rPr>
        <w:t>Таким образом, доводы заявителя о нарушении положений Закона о контрактной системе, в части установления штрафов в виде фиксированной суммы являются необоснованными.</w:t>
      </w:r>
    </w:p>
    <w:p>
      <w:pPr>
        <w:pStyle w:val="Style8"/>
        <w:numPr>
          <w:ilvl w:val="0"/>
          <w:numId w:val="5"/>
        </w:numPr>
        <w:tabs>
          <w:tab w:leader="none" w:pos="1078" w:val="left"/>
        </w:tabs>
        <w:widowControl w:val="0"/>
        <w:keepNext w:val="0"/>
        <w:keepLines w:val="0"/>
        <w:shd w:val="clear" w:color="auto" w:fill="auto"/>
        <w:bidi w:val="0"/>
        <w:jc w:val="both"/>
        <w:spacing w:before="0" w:after="0" w:line="274" w:lineRule="exact"/>
        <w:ind w:left="40" w:right="0" w:firstLine="740"/>
      </w:pPr>
      <w:r>
        <w:rPr>
          <w:lang w:val="ru-RU" w:eastAsia="ru-RU" w:bidi="ru-RU"/>
          <w:sz w:val="24"/>
          <w:szCs w:val="24"/>
          <w:w w:val="100"/>
          <w:spacing w:val="0"/>
          <w:color w:val="000000"/>
          <w:position w:val="0"/>
        </w:rPr>
        <w:t>По второму доводу Заявителя Комиссия Управления отмечает следующее.</w:t>
      </w:r>
    </w:p>
    <w:p>
      <w:pPr>
        <w:pStyle w:val="Style8"/>
        <w:widowControl w:val="0"/>
        <w:keepNext w:val="0"/>
        <w:keepLines w:val="0"/>
        <w:shd w:val="clear" w:color="auto" w:fill="auto"/>
        <w:bidi w:val="0"/>
        <w:jc w:val="both"/>
        <w:spacing w:before="0" w:after="0" w:line="274" w:lineRule="exact"/>
        <w:ind w:left="40" w:right="20" w:firstLine="740"/>
      </w:pPr>
      <w:r>
        <w:rPr>
          <w:lang w:val="ru-RU" w:eastAsia="ru-RU" w:bidi="ru-RU"/>
          <w:sz w:val="24"/>
          <w:szCs w:val="24"/>
          <w:w w:val="100"/>
          <w:spacing w:val="0"/>
          <w:color w:val="000000"/>
          <w:position w:val="0"/>
        </w:rPr>
        <w:t>Согласно пункту 2.4 проекта контракта оплата выполненных работ производится в соответствии с графиком оплаты выполненных работ (Приложение № 3 к Контракту), по безналичному расчету путем перечисления Заказчиком денежных средств на расчетный счет Генподрядчика за фактически выполненные работы, не более чем в течение 30 (тридцати) календарных дней на основании акта о приемке выполненных работ по форме № КС - 2 (унифицированная форма № КС-2, утвержденная Постановлением Госкомстата РФ от 11.11.1999 № 100), справки о стоимости выполненных работ и затрат по форме № КС- 3, (унифицированная форма № КС-3, утвержденная Постановлением Госкомстата РФ от 11.11.1999 № 100), подписанных Заказчиком и Генподрядчиком, и представленного Генподрядчиком счета - фактуры (счета), в случае, если расчетным месяцем является декабрь, расчеты производятся не позднее 31 декабря.</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Пунктом 9.11 проекта контракта предусмотрено, что ежемесячно Генподрядчик оформляет акты выполненных работ по форме № КС-2 и справки о стоимости выполненных работ и затрат по форме № КС-3. Акты и справки № КС-2, № КС-3 составляются Генподрядчиком на основании журнала учета выполненных работ по форме № КС-ба (унифицированная форма № КС-ба, утвержденная Постановлением Правительства РФ от 11 ноября 1999 г. № 100). Наименование работ, материальных ценностей и расценки, отраженные в актах и справках № КС-2, № КС-3 должны соответствовать проектно - сметной документации.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В соответствии с пунктом 9.12 проекта контракта Генподрядчик ежемесячно, не позднее 15 числа текущего месяца предоставляет Заказчику оформленные акты выполненных работ по форме № КС-2, справки о стоимости выполненных работ и затрат по форме № КС-3 (в пяти экземплярах), исполнительную документацию в 2 (двух) экземплярах на бумажном носителе и в электронном виде (съемка в файлах, открываемых программным продуктом </w:t>
      </w:r>
      <w:r>
        <w:rPr>
          <w:lang w:val="en-US" w:eastAsia="en-US" w:bidi="en-US"/>
          <w:sz w:val="24"/>
          <w:szCs w:val="24"/>
          <w:w w:val="100"/>
          <w:spacing w:val="0"/>
          <w:color w:val="000000"/>
          <w:position w:val="0"/>
        </w:rPr>
        <w:t xml:space="preserve">CREDO MIX (dos </w:t>
      </w:r>
      <w:r>
        <w:rPr>
          <w:lang w:val="ru-RU" w:eastAsia="ru-RU" w:bidi="ru-RU"/>
          <w:sz w:val="24"/>
          <w:szCs w:val="24"/>
          <w:w w:val="100"/>
          <w:spacing w:val="0"/>
          <w:color w:val="000000"/>
          <w:position w:val="0"/>
        </w:rPr>
        <w:t>версия) в МСК 86) на фактически выполненные работы в отчетном периоде.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пункту 9.13 проекта контракта Заказчик в течение 5 (пяти) рабочих дней осуществляет приемку выполненных работ и подписывает акты и справки по форме № КС-2, № КС-3, либо в тот же срок направляет Генподрядчику письменный мотивированный отказ от приемки работ с указанием причин отказа. Причинами отказа от приемки отдельных видов работ, отдельных этапов могут являться ненадлежащее качество выполнения работ, несоответствие фактического объема выполненных работ объему, заявленному в актах по форме № КС-2, а также отсутствие исполнительной документации, подтверждающей факт выполнения работ, несоответствие выполненных работ проектной документации.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Заказчик принимает только фактически выполненный объем работ надлежащего качества, соответствующий проектной документации.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Таким образом, проект контракта содержит порядок оплаты выполненных Генподрядчиком работ исходя из объема работ, предусмотренных графиком выполнения строительно-монтажных работ.</w:t>
      </w:r>
    </w:p>
    <w:p>
      <w:pPr>
        <w:pStyle w:val="Style8"/>
        <w:widowControl w:val="0"/>
        <w:keepNext w:val="0"/>
        <w:keepLines w:val="0"/>
        <w:shd w:val="clear" w:color="auto" w:fill="auto"/>
        <w:bidi w:val="0"/>
        <w:jc w:val="both"/>
        <w:spacing w:before="0" w:after="240" w:line="274" w:lineRule="exact"/>
        <w:ind w:left="40" w:right="40" w:firstLine="720"/>
      </w:pPr>
      <w:r>
        <w:rPr>
          <w:lang w:val="ru-RU" w:eastAsia="ru-RU" w:bidi="ru-RU"/>
          <w:sz w:val="24"/>
          <w:szCs w:val="24"/>
          <w:w w:val="100"/>
          <w:spacing w:val="0"/>
          <w:color w:val="000000"/>
          <w:position w:val="0"/>
        </w:rPr>
        <w:t>На основании вышеизложенного, в действиях Заказчика отсутствует нарушение требований, установленных ч. 13 ст. 34, ст. 110.2 Закона о контрактной системе.</w:t>
      </w:r>
    </w:p>
    <w:p>
      <w:pPr>
        <w:pStyle w:val="Style8"/>
        <w:numPr>
          <w:ilvl w:val="0"/>
          <w:numId w:val="5"/>
        </w:numPr>
        <w:tabs>
          <w:tab w:leader="none" w:pos="1062" w:val="left"/>
        </w:tabs>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По третьему доводу заявителя Комиссия Управления отмечает следующее.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Документацией об аукционе в электронной форме предусматривается, что предметом данной закупки является выполнение работ по строительству объекта «Средняя общеобразовательная школа в микрорайоне 33 г. Сургута».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условиям контракта Генподрядчик обязуется по заданию Заказчика своими и привлечёнными силами выполнить работы по строительству объекта «Средняя общеобразовательная школа в микрорайоне 33 г. Сургута», и своевременно сдать результат работ Заказчику, а Заказчик обязуется принять и оплатить выполненные работы в порядке и на условиях Контракта.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Работы по Контракту должны выполняться в строгом соответствии с нормативными правовыми актами Российской Федерации, в соответствии с условиями Контракта, проектно - сметной документацией, строительными нормами и правилами (пункт 1.2 проекта контракта).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Результатом выполненных работ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технических регламентов, в том числе требованиям энергетической эффективности и иных нормативных правовых актов и проектной документации (пункт 1.3 проекта контракта).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п. 1.2 Положения об организации строительства объектов «под ключ», утвержденного Постановлением Госстроя СССР от 10.11.1989 № 147 предусматривается понятие «строительство объектов «под ключ». Метод строительства объектов «под ключ» предусматривает обеспечение сооружения объектов, подготовленных к эксплуатации или оказанию услуг, на основе сосредоточения функций управления всеми стадиями инвестиционного процесса в одной организационной структуре и осуществляется как единый непрерывный комплексный процесс создания готовой строительной продукции (проектирование - выполнение строительных и монтажных работ, включая комплектацию строек технологическим и инженерным оборудованием - ввод в эксплуатацию).</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п. 2 приложения к Положению об организации строительства объектов «под ключ» в договорную цену при строительстве объектов «под ключ» включается, помимо прочего, стоимость оборудования, мебели, инвентаря.</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В п. 3.14 </w:t>
      </w:r>
      <w:r>
        <w:rPr>
          <w:rStyle w:val="CharStyle12"/>
        </w:rPr>
        <w:t>Постановления</w:t>
      </w:r>
      <w:r>
        <w:rPr>
          <w:lang w:val="ru-RU" w:eastAsia="ru-RU" w:bidi="ru-RU"/>
          <w:sz w:val="24"/>
          <w:szCs w:val="24"/>
          <w:w w:val="100"/>
          <w:spacing w:val="0"/>
          <w:color w:val="000000"/>
          <w:position w:val="0"/>
        </w:rPr>
        <w:t xml:space="preserve"> Госстроя России от 05.03.2004 № 15/1 «Об утверждении и введении в действие Методики определения стоимости строительной продукции на территории Российской Федерации» указано, что сметная стоимость строительства (ремонта) в соответствии с технологической структурой капитальных вложений и порядком осуществления деятельности строительно-монтажных организаций может включать в себя: стоимость строительных (ремонтно- строительных) работ; стоимость работ по монтажу оборудования (монтажных работ); затраты на приобретение (изготовление) оборудования, мебели и инвентаря; прочие затраты.</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Потребностями Заказчика обусловлено установление им любых параметров, характеристик, требований к товару, работам, услугам может повлечь невозможность принять участие того или иного юридического, физического лица в закупке, ограничить число участников закупки, поскольку не все поставщики (исполнители) имеют возможность поставить товар, выполнить работу, оказать услугу, соответствующую всем условиям документации об электронном аукционе. Факт невозможности участия конкретного участника в процедуре закупки, в связи с отсутствием у него каких-либо товаров либо невозможностью выполнения каких-либо работ, необходимых Заказчику, не влечет нарушение его прав.</w:t>
      </w:r>
    </w:p>
    <w:p>
      <w:pPr>
        <w:pStyle w:val="Style8"/>
        <w:widowControl w:val="0"/>
        <w:keepNext w:val="0"/>
        <w:keepLines w:val="0"/>
        <w:shd w:val="clear" w:color="auto" w:fill="auto"/>
        <w:bidi w:val="0"/>
        <w:jc w:val="both"/>
        <w:spacing w:before="0" w:after="0" w:line="274" w:lineRule="exact"/>
        <w:ind w:left="40" w:right="40" w:firstLine="720"/>
      </w:pPr>
      <w:r>
        <w:rPr>
          <w:rStyle w:val="CharStyle12"/>
        </w:rPr>
        <w:t>Частью 1 статьи 1</w:t>
      </w:r>
      <w:r>
        <w:rPr>
          <w:lang w:val="ru-RU" w:eastAsia="ru-RU" w:bidi="ru-RU"/>
          <w:sz w:val="24"/>
          <w:szCs w:val="24"/>
          <w:w w:val="100"/>
          <w:spacing w:val="0"/>
          <w:color w:val="000000"/>
          <w:position w:val="0"/>
        </w:rPr>
        <w:t xml:space="preserve"> Закона о контрактной системе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В соответствии с </w:t>
      </w:r>
      <w:r>
        <w:rPr>
          <w:rStyle w:val="CharStyle12"/>
        </w:rPr>
        <w:t>частью 5 статьи 24</w:t>
      </w:r>
      <w:r>
        <w:rPr>
          <w:lang w:val="ru-RU" w:eastAsia="ru-RU" w:bidi="ru-RU"/>
          <w:sz w:val="24"/>
          <w:szCs w:val="24"/>
          <w:w w:val="100"/>
          <w:spacing w:val="0"/>
          <w:color w:val="000000"/>
          <w:position w:val="0"/>
        </w:rPr>
        <w:t xml:space="preserve"> Закона о контрактной системе заказчик выбирает способ определения поставщика (подрядчика, исполнителя) в соответствии с положениями </w:t>
      </w:r>
      <w:r>
        <w:rPr>
          <w:rStyle w:val="CharStyle12"/>
        </w:rPr>
        <w:t>главы</w:t>
      </w:r>
      <w:r>
        <w:rPr>
          <w:lang w:val="ru-RU" w:eastAsia="ru-RU" w:bidi="ru-RU"/>
          <w:sz w:val="24"/>
          <w:szCs w:val="24"/>
          <w:w w:val="100"/>
          <w:spacing w:val="0"/>
          <w:color w:val="000000"/>
          <w:position w:val="0"/>
        </w:rPr>
        <w:t xml:space="preserve"> 3 Закона о контрактной системе. При этом он не вправе совершать действия, влекущие за собой необоснованное сокращение числа участников закупки.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В соответствии с </w:t>
      </w:r>
      <w:r>
        <w:rPr>
          <w:rStyle w:val="CharStyle12"/>
        </w:rPr>
        <w:t>частью 1 статьи 64</w:t>
      </w:r>
      <w:r>
        <w:rPr>
          <w:lang w:val="ru-RU" w:eastAsia="ru-RU" w:bidi="ru-RU"/>
          <w:sz w:val="24"/>
          <w:szCs w:val="24"/>
          <w:w w:val="100"/>
          <w:spacing w:val="0"/>
          <w:color w:val="000000"/>
          <w:position w:val="0"/>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Учитывая изложенное, объединение в один предмет торгов выполнение строительных работ по созданию социально значимого объекта - общеобразовательной школы вместе с поставкой и установкой оборудования, направленных на подготовку и сдачу объекта «под ключ» является правомерным. Такое формирование лота обеспечивает наиболее качественное достижение поставленной цели, наиболее рациональное расходование бюджетных средств, возможность разрешения поставленной задачи, осуществление контроля за осуществлением работ и оснащением сооружаемого объекта в рамках одного объявленного размещения закупки, без дополнительных временных и организационных затрат.</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В настоящей закупке имеется связь работ по строительству с услугами по приобретению (изготовлению) оборудования, мебели и инвентаря, а также усматривается единая цель торгов - приведение построенного здания и его помещений в состояние, пригодное для его целевой эксплуатации. Документацией об аукционе и проектом контракта предусматривается, что участник закупки обязан соблюдать определенные сроки и последовательность выполнения работ. В итоге это должно привести к рациональному расходованию бюджетных денежных средств.</w:t>
      </w:r>
    </w:p>
    <w:p>
      <w:pPr>
        <w:pStyle w:val="Style8"/>
        <w:widowControl w:val="0"/>
        <w:keepNext w:val="0"/>
        <w:keepLines w:val="0"/>
        <w:shd w:val="clear" w:color="auto" w:fill="auto"/>
        <w:bidi w:val="0"/>
        <w:jc w:val="both"/>
        <w:spacing w:before="0" w:after="0" w:line="274" w:lineRule="exact"/>
        <w:ind w:left="20" w:right="40" w:firstLine="700"/>
      </w:pPr>
      <w:r>
        <w:rPr>
          <w:lang w:val="ru-RU" w:eastAsia="ru-RU" w:bidi="ru-RU"/>
          <w:sz w:val="24"/>
          <w:szCs w:val="24"/>
          <w:w w:val="100"/>
          <w:spacing w:val="0"/>
          <w:color w:val="000000"/>
          <w:position w:val="0"/>
        </w:rPr>
        <w:t>Разделом 5 Технического задания данного аукциона в электронной форме предусматривается, что при выполнении работ подрядчик руководствуется проектно-сметной документацией.</w:t>
      </w:r>
    </w:p>
    <w:p>
      <w:pPr>
        <w:pStyle w:val="Style8"/>
        <w:widowControl w:val="0"/>
        <w:keepNext w:val="0"/>
        <w:keepLines w:val="0"/>
        <w:shd w:val="clear" w:color="auto" w:fill="auto"/>
        <w:bidi w:val="0"/>
        <w:jc w:val="both"/>
        <w:spacing w:before="0" w:after="0" w:line="274" w:lineRule="exact"/>
        <w:ind w:left="20" w:right="40" w:firstLine="700"/>
      </w:pPr>
      <w:r>
        <w:rPr>
          <w:lang w:val="ru-RU" w:eastAsia="ru-RU" w:bidi="ru-RU"/>
          <w:sz w:val="24"/>
          <w:szCs w:val="24"/>
          <w:w w:val="100"/>
          <w:spacing w:val="0"/>
          <w:color w:val="000000"/>
          <w:position w:val="0"/>
        </w:rPr>
        <w:t xml:space="preserve">Положением о составе разделов проектной документации и требованиях к их содержанию, утвержденного </w:t>
      </w:r>
      <w:r>
        <w:rPr>
          <w:rStyle w:val="CharStyle12"/>
        </w:rPr>
        <w:t>Постановлением</w:t>
      </w:r>
      <w:r>
        <w:rPr>
          <w:lang w:val="ru-RU" w:eastAsia="ru-RU" w:bidi="ru-RU"/>
          <w:sz w:val="24"/>
          <w:szCs w:val="24"/>
          <w:w w:val="100"/>
          <w:spacing w:val="0"/>
          <w:color w:val="000000"/>
          <w:position w:val="0"/>
        </w:rPr>
        <w:t xml:space="preserve"> Правительства РФ от 16.02.2008 № 87 предусматривается, что Проектная сметная документация на строительство должна содержать подраздел «Технологические решения». В качестве таких технологических решений в состав проектно</w:t>
        <w:softHyphen/>
        <w:t xml:space="preserve">сметной документации включена смета </w:t>
      </w:r>
      <w:r>
        <w:rPr>
          <w:lang w:val="en-US" w:eastAsia="en-US" w:bidi="en-US"/>
          <w:sz w:val="24"/>
          <w:szCs w:val="24"/>
          <w:w w:val="100"/>
          <w:spacing w:val="0"/>
          <w:color w:val="000000"/>
          <w:position w:val="0"/>
        </w:rPr>
        <w:t xml:space="preserve">JIC </w:t>
      </w:r>
      <w:r>
        <w:rPr>
          <w:lang w:val="ru-RU" w:eastAsia="ru-RU" w:bidi="ru-RU"/>
          <w:sz w:val="24"/>
          <w:szCs w:val="24"/>
          <w:w w:val="100"/>
          <w:spacing w:val="0"/>
          <w:color w:val="000000"/>
          <w:position w:val="0"/>
        </w:rPr>
        <w:t>02-01-40 на технологическое монтируемое оборудование.</w:t>
      </w:r>
    </w:p>
    <w:p>
      <w:pPr>
        <w:pStyle w:val="Style8"/>
        <w:widowControl w:val="0"/>
        <w:keepNext w:val="0"/>
        <w:keepLines w:val="0"/>
        <w:shd w:val="clear" w:color="auto" w:fill="auto"/>
        <w:bidi w:val="0"/>
        <w:jc w:val="both"/>
        <w:spacing w:before="0" w:after="0" w:line="274" w:lineRule="exact"/>
        <w:ind w:left="20" w:right="40" w:firstLine="700"/>
      </w:pPr>
      <w:r>
        <w:rPr>
          <w:lang w:val="ru-RU" w:eastAsia="ru-RU" w:bidi="ru-RU"/>
          <w:sz w:val="24"/>
          <w:szCs w:val="24"/>
          <w:w w:val="100"/>
          <w:spacing w:val="0"/>
          <w:color w:val="000000"/>
          <w:position w:val="0"/>
        </w:rPr>
        <w:t>Проектно-сметная документация по строительству объекта получила положительное заключение государственной экспертизы проектной документации № 86-1-1-3-0212-18 от</w:t>
      </w:r>
    </w:p>
    <w:p>
      <w:pPr>
        <w:pStyle w:val="Style8"/>
        <w:numPr>
          <w:ilvl w:val="0"/>
          <w:numId w:val="7"/>
        </w:numPr>
        <w:tabs>
          <w:tab w:leader="none" w:pos="1297" w:val="left"/>
        </w:tabs>
        <w:widowControl w:val="0"/>
        <w:keepNext w:val="0"/>
        <w:keepLines w:val="0"/>
        <w:shd w:val="clear" w:color="auto" w:fill="auto"/>
        <w:bidi w:val="0"/>
        <w:jc w:val="both"/>
        <w:spacing w:before="0" w:after="0" w:line="274" w:lineRule="exact"/>
        <w:ind w:left="20" w:right="40" w:firstLine="0"/>
      </w:pPr>
      <w:r>
        <w:rPr>
          <w:lang w:val="ru-RU" w:eastAsia="ru-RU" w:bidi="ru-RU"/>
          <w:sz w:val="24"/>
          <w:szCs w:val="24"/>
          <w:w w:val="100"/>
          <w:spacing w:val="0"/>
          <w:color w:val="000000"/>
          <w:position w:val="0"/>
        </w:rPr>
        <w:t>и положительное заключение о проверке достоверности определения сметной стоимости строительства № 86-1-0546-18 от 19.10.2018. Поставка, установка и монтаж указанного технологического оборудования осуществляется на основании утвержденной проектно-сметной документации, в соответствии с требуемыми техническими характеристиками. Для функционирования указанного оборудования необходимо учесть и произвести подвод инженерных коммуникаций к данному оборудованию, включающий в себя сети водоснабжения (альбом 1541-ПИ.00.33-1-В1, лист 4), сети канализации (альбом 1541-ПИ.00.33-1-К, лист 5, 19), сети электроснабжения (альбом 1541-ПИ.00.33-1-ЭМ, лист 27, 80), которые на основании проектных решений должны быть смонтированы в процессе строительства объекта с учетом всех параметров и характеристик оборудования, таких как, габаритные размеры, способ и метод их подключения.</w:t>
      </w:r>
    </w:p>
    <w:p>
      <w:pPr>
        <w:pStyle w:val="Style8"/>
        <w:widowControl w:val="0"/>
        <w:keepNext w:val="0"/>
        <w:keepLines w:val="0"/>
        <w:shd w:val="clear" w:color="auto" w:fill="auto"/>
        <w:bidi w:val="0"/>
        <w:jc w:val="both"/>
        <w:spacing w:before="0" w:after="0" w:line="274" w:lineRule="exact"/>
        <w:ind w:left="20" w:right="40" w:firstLine="700"/>
      </w:pPr>
      <w:r>
        <w:rPr>
          <w:lang w:val="ru-RU" w:eastAsia="ru-RU" w:bidi="ru-RU"/>
          <w:sz w:val="24"/>
          <w:szCs w:val="24"/>
          <w:w w:val="100"/>
          <w:spacing w:val="0"/>
          <w:color w:val="000000"/>
          <w:position w:val="0"/>
        </w:rPr>
        <w:t xml:space="preserve">Возможность включения в сметную стоимость строительства стоимости затрат на приобретение оборудования и стоимости работ по его монтажу предусмотрена пунктом 3.14 Методики определения стоимости строительной продукции на территории Российской Федерации, утвержденной Постановлением Государственного комитета Российской Федерации по строительству и жилищно-коммунальному комплексу от 05.03.2004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15/1.</w:t>
      </w:r>
    </w:p>
    <w:p>
      <w:pPr>
        <w:pStyle w:val="Style8"/>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 xml:space="preserve">Классификация оборудования по его видам, функциональному назначению, условиям изготовления и поставки приведена в Приложении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5 к Методике определения стоимости строительной продукции на территории Российской Федерации, утвержденной Постановлением Г осударственного комитета Российской Федерации по строительству и жилищно-коммунальному комплексу от 05.03.2004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15/1.</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Так, к оборудованию могут относиться:</w:t>
      </w:r>
    </w:p>
    <w:p>
      <w:pPr>
        <w:pStyle w:val="Style8"/>
        <w:numPr>
          <w:ilvl w:val="0"/>
          <w:numId w:val="1"/>
        </w:numPr>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 xml:space="preserve"> технологические линии, станки, установки, аппараты, машины, механизмы, приборы и другие устройства, совершающие различные технологические процессы, в результате которых производится энергия, вырабатывается полуфабрикат, готовый продукт или обеспечивается их перемещение, а также сопутствующие им процессы, обеспечивающие автоматизацию управления технологическими процессами, функции связи и контроля;</w:t>
      </w:r>
    </w:p>
    <w:p>
      <w:pPr>
        <w:pStyle w:val="Style8"/>
        <w:numPr>
          <w:ilvl w:val="0"/>
          <w:numId w:val="1"/>
        </w:numPr>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 xml:space="preserve"> санитарно-техническое оборудование, связанное с обеспечением работы технологического оборудования и технологических процессов;</w:t>
      </w:r>
    </w:p>
    <w:p>
      <w:pPr>
        <w:pStyle w:val="Style8"/>
        <w:numPr>
          <w:ilvl w:val="0"/>
          <w:numId w:val="1"/>
        </w:numPr>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 xml:space="preserve"> поставляемые в комплекте с основным оборудованием обвязочные трубопроводы, трубопроводная арматура, металлические конструкции, мерные с разделанными концами участки кабелей;</w:t>
      </w:r>
    </w:p>
    <w:p>
      <w:pPr>
        <w:pStyle w:val="Style8"/>
        <w:numPr>
          <w:ilvl w:val="0"/>
          <w:numId w:val="1"/>
        </w:numPr>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 xml:space="preserve"> первоначальный фонд инструмента, технологической оснастки и инвентаря, необходимые для эксплуатации вводимых в действие предпринятий, зданий и сооружений;</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запасные части к оборудованию.</w:t>
      </w:r>
    </w:p>
    <w:p>
      <w:pPr>
        <w:pStyle w:val="Style8"/>
        <w:widowControl w:val="0"/>
        <w:keepNext w:val="0"/>
        <w:keepLines w:val="0"/>
        <w:shd w:val="clear" w:color="auto" w:fill="auto"/>
        <w:bidi w:val="0"/>
        <w:jc w:val="both"/>
        <w:spacing w:before="0" w:after="0" w:line="274" w:lineRule="exact"/>
        <w:ind w:left="20" w:right="40" w:firstLine="560"/>
      </w:pPr>
      <w:r>
        <w:rPr>
          <w:lang w:val="ru-RU" w:eastAsia="ru-RU" w:bidi="ru-RU"/>
          <w:sz w:val="24"/>
          <w:szCs w:val="24"/>
          <w:w w:val="100"/>
          <w:spacing w:val="0"/>
          <w:color w:val="000000"/>
          <w:position w:val="0"/>
        </w:rPr>
        <w:t xml:space="preserve">Таким образом, учитывая содержание процитированных выше норм права, а также принимая во внимание то, что установка спорного оборудования предусмотрена проектной документацией, Комиссия Управления приходит к выводу, что заказчик правомерно в объект закупки включил поставку и установку оборудования, указанного в локальном сметном расчете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02-01-40 на технологическое монтируемое оборудование".</w:t>
      </w:r>
    </w:p>
    <w:p>
      <w:pPr>
        <w:pStyle w:val="Style8"/>
        <w:widowControl w:val="0"/>
        <w:keepNext w:val="0"/>
        <w:keepLines w:val="0"/>
        <w:shd w:val="clear" w:color="auto" w:fill="auto"/>
        <w:bidi w:val="0"/>
        <w:jc w:val="both"/>
        <w:spacing w:before="0" w:after="0" w:line="274" w:lineRule="exact"/>
        <w:ind w:left="40" w:right="40" w:firstLine="520"/>
      </w:pPr>
      <w:r>
        <w:rPr>
          <w:lang w:val="ru-RU" w:eastAsia="ru-RU" w:bidi="ru-RU"/>
          <w:sz w:val="24"/>
          <w:szCs w:val="24"/>
          <w:w w:val="100"/>
          <w:spacing w:val="0"/>
          <w:color w:val="000000"/>
          <w:position w:val="0"/>
        </w:rPr>
        <w:t>Кроме того, в жалобе заявителя не представлено доказательств, подтверждающих, что заказчиком в один объект закупки объединено выполнение работ и осуществление поставки оборудования, технологически и функционально не связанного с объектом строительства.</w:t>
      </w:r>
    </w:p>
    <w:p>
      <w:pPr>
        <w:pStyle w:val="Style8"/>
        <w:tabs>
          <w:tab w:leader="none" w:pos="7917" w:val="left"/>
        </w:tabs>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Комиссия Управления также отмечает, что немонтируемое оборудование не включено в объект закупки, в частности не включены локальные сметные расчеты </w:t>
      </w:r>
      <w:r>
        <w:rPr>
          <w:lang w:val="en-US" w:eastAsia="en-US" w:bidi="en-US"/>
          <w:sz w:val="24"/>
          <w:szCs w:val="24"/>
          <w:w w:val="100"/>
          <w:spacing w:val="0"/>
          <w:color w:val="000000"/>
          <w:position w:val="0"/>
        </w:rPr>
        <w:t xml:space="preserve">JIC </w:t>
      </w:r>
      <w:r>
        <w:rPr>
          <w:lang w:val="ru-RU" w:eastAsia="ru-RU" w:bidi="ru-RU"/>
          <w:sz w:val="24"/>
          <w:szCs w:val="24"/>
          <w:w w:val="100"/>
          <w:spacing w:val="0"/>
          <w:color w:val="000000"/>
          <w:position w:val="0"/>
        </w:rPr>
        <w:t xml:space="preserve">№02-01-41 - «Технологическое оборудование, немонтируемое»; </w:t>
      </w:r>
      <w:r>
        <w:rPr>
          <w:lang w:val="en-US" w:eastAsia="en-US" w:bidi="en-US"/>
          <w:sz w:val="24"/>
          <w:szCs w:val="24"/>
          <w:w w:val="100"/>
          <w:spacing w:val="0"/>
          <w:color w:val="000000"/>
          <w:position w:val="0"/>
        </w:rPr>
        <w:t xml:space="preserve">JIC </w:t>
      </w:r>
      <w:r>
        <w:rPr>
          <w:lang w:val="ru-RU" w:eastAsia="ru-RU" w:bidi="ru-RU"/>
          <w:sz w:val="24"/>
          <w:szCs w:val="24"/>
          <w:w w:val="100"/>
          <w:spacing w:val="0"/>
          <w:color w:val="000000"/>
          <w:position w:val="0"/>
        </w:rPr>
        <w:t>02-01-42</w:t>
        <w:tab/>
        <w:t>- «Технологическое</w:t>
      </w:r>
    </w:p>
    <w:p>
      <w:pPr>
        <w:pStyle w:val="Style8"/>
        <w:widowControl w:val="0"/>
        <w:keepNext w:val="0"/>
        <w:keepLines w:val="0"/>
        <w:shd w:val="clear" w:color="auto" w:fill="auto"/>
        <w:bidi w:val="0"/>
        <w:jc w:val="both"/>
        <w:spacing w:before="0" w:after="0" w:line="274" w:lineRule="exact"/>
        <w:ind w:left="40" w:right="0" w:firstLine="0"/>
      </w:pPr>
      <w:r>
        <w:rPr>
          <w:lang w:val="ru-RU" w:eastAsia="ru-RU" w:bidi="ru-RU"/>
          <w:sz w:val="24"/>
          <w:szCs w:val="24"/>
          <w:w w:val="100"/>
          <w:spacing w:val="0"/>
          <w:color w:val="000000"/>
          <w:position w:val="0"/>
        </w:rPr>
        <w:t>оборудование, пособия».</w:t>
      </w:r>
    </w:p>
    <w:p>
      <w:pPr>
        <w:pStyle w:val="Style8"/>
        <w:widowControl w:val="0"/>
        <w:keepNext w:val="0"/>
        <w:keepLines w:val="0"/>
        <w:shd w:val="clear" w:color="auto" w:fill="auto"/>
        <w:bidi w:val="0"/>
        <w:jc w:val="both"/>
        <w:spacing w:before="0" w:after="240" w:line="274" w:lineRule="exact"/>
        <w:ind w:left="40" w:right="0" w:firstLine="720"/>
      </w:pPr>
      <w:r>
        <w:rPr>
          <w:lang w:val="ru-RU" w:eastAsia="ru-RU" w:bidi="ru-RU"/>
          <w:sz w:val="24"/>
          <w:szCs w:val="24"/>
          <w:w w:val="100"/>
          <w:spacing w:val="0"/>
          <w:color w:val="000000"/>
          <w:position w:val="0"/>
        </w:rPr>
        <w:t>На основании вышеизложенного, довод Заявителя является не состоятельным.</w:t>
      </w:r>
    </w:p>
    <w:p>
      <w:pPr>
        <w:pStyle w:val="Style8"/>
        <w:numPr>
          <w:ilvl w:val="0"/>
          <w:numId w:val="5"/>
        </w:numPr>
        <w:tabs>
          <w:tab w:leader="none" w:pos="1063" w:val="left"/>
        </w:tabs>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По четвертому доводу Заявителя Комиссия Управления отмечает следующее.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 xml:space="preserve">Согласно требованиям </w:t>
      </w:r>
      <w:r>
        <w:rPr>
          <w:rStyle w:val="CharStyle12"/>
        </w:rPr>
        <w:t>статьи 8</w:t>
      </w:r>
      <w:r>
        <w:rPr>
          <w:lang w:val="ru-RU" w:eastAsia="ru-RU" w:bidi="ru-RU"/>
          <w:sz w:val="24"/>
          <w:szCs w:val="24"/>
          <w:w w:val="100"/>
          <w:spacing w:val="0"/>
          <w:color w:val="000000"/>
          <w:position w:val="0"/>
        </w:rPr>
        <w:t xml:space="preserve"> 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Размещение закупки с указанием соответствующего требованиям законодательства предмета закупки не может рассматриваться в качестве ограничивающего количество участников закупки.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При этом в соответствии с условиями проекта контракта при невозможности выполнить работы самостоятельно, участник закупки вправе привлечь субподрядные организации и третьих лиц (раздел 5).</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Так согласно пункту 5.1 проекта контракта Генподрядчик обязан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Согласно пункту 4.4.33 проекта контракта Генподрядчик в ходе выполнения работ осуществляет входной контроль качества материалов, изделий и оборудования, операционный контроль качества работ в соответствии со строительными нормами и правилами. Результаты входного контроля качества фиксируются в соответствующем журнале. Входным контролем Генподрядчик проверяет соответствие показателей качества применяемых материалов, изделий и оборудования требованиям стандартов, технических условий и технических свидетельств на них, указанных в проектной документации. При этом проверяется наличие и содержание сопроводительных документов поставщика (производителя), подтверждающих качество указанных материалов, изделий и оборудования. При необходимости выполняет контрольные измерения и испытания. Методы и средства этих испытаний должны соответствовать требованиям стандартов, технических условий, технических свидетельств на материалы, изделия и оборудование.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sz w:val="24"/>
          <w:szCs w:val="24"/>
          <w:w w:val="100"/>
          <w:spacing w:val="0"/>
          <w:color w:val="000000"/>
          <w:position w:val="0"/>
        </w:rPr>
        <w:t>Пункт 4.4.36 проекта контракта обязывает Генподрядчика 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w:t>
      </w:r>
    </w:p>
    <w:p>
      <w:pPr>
        <w:pStyle w:val="Style8"/>
        <w:widowControl w:val="0"/>
        <w:keepNext w:val="0"/>
        <w:keepLines w:val="0"/>
        <w:shd w:val="clear" w:color="auto" w:fill="auto"/>
        <w:bidi w:val="0"/>
        <w:jc w:val="both"/>
        <w:spacing w:before="0" w:after="0" w:line="274" w:lineRule="exact"/>
        <w:ind w:left="20" w:right="40" w:firstLine="700"/>
      </w:pPr>
      <w:r>
        <w:rPr>
          <w:lang w:val="ru-RU" w:eastAsia="ru-RU" w:bidi="ru-RU"/>
          <w:sz w:val="24"/>
          <w:szCs w:val="24"/>
          <w:w w:val="100"/>
          <w:spacing w:val="0"/>
          <w:color w:val="000000"/>
          <w:position w:val="0"/>
        </w:rPr>
        <w:t>В соответствии с разделом 5 «Требования к качеству выполняемых работ» Технического задания Генподрядчик несет ответственность за соответствие используемых материалов и оборудования требованиям стандартов, технических условий и технических свидетельств на них, указанных в проектной документации, за достоверность сведений и стране происхождения, за сохранность всех поставляемых материалов до завершения выполнения работ по строительству объекта.</w:t>
      </w:r>
    </w:p>
    <w:p>
      <w:pPr>
        <w:pStyle w:val="Style8"/>
        <w:widowControl w:val="0"/>
        <w:keepNext w:val="0"/>
        <w:keepLines w:val="0"/>
        <w:shd w:val="clear" w:color="auto" w:fill="auto"/>
        <w:bidi w:val="0"/>
        <w:jc w:val="both"/>
        <w:spacing w:before="0" w:after="0" w:line="274" w:lineRule="exact"/>
        <w:ind w:left="20" w:right="40" w:firstLine="700"/>
      </w:pPr>
      <w:r>
        <w:rPr>
          <w:lang w:val="ru-RU" w:eastAsia="ru-RU" w:bidi="ru-RU"/>
          <w:sz w:val="24"/>
          <w:szCs w:val="24"/>
          <w:w w:val="100"/>
          <w:spacing w:val="0"/>
          <w:color w:val="000000"/>
          <w:position w:val="0"/>
        </w:rPr>
        <w:t>Все поставляемые для строительства материалы, оборудование и инвентарь должны иметь сертификаты соответствия, декларации о соответствии, технические паспорта, санитарно- эпидемиологические заключения и другие предусмотренные правовыми актами Российской Федерации, строительными нормами и правилами документы, удостоверяющие их происхождение, качество и сроки годности.</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Перед производством работ, Генподрядчик обязан предъявить Заказчику образцы материалов и документы (сертификаты, паспорта), подтверждающие соответствие их проектной документации.</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В силу части 9 статьи 105 Закона о контраткной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 xml:space="preserve">Комиссия Управления отмечает, что по спорным позициям, указанным в жалобе Заявителем не представлены подтверждающие предполагаемые им нарушения документы и иные доказательства, что указанные в </w:t>
      </w:r>
      <w:r>
        <w:rPr>
          <w:lang w:val="en-US" w:eastAsia="en-US" w:bidi="en-US"/>
          <w:sz w:val="24"/>
          <w:szCs w:val="24"/>
          <w:w w:val="100"/>
          <w:spacing w:val="0"/>
          <w:color w:val="000000"/>
          <w:position w:val="0"/>
        </w:rPr>
        <w:t xml:space="preserve">JICP </w:t>
      </w:r>
      <w:r>
        <w:rPr>
          <w:lang w:val="ru-RU" w:eastAsia="ru-RU" w:bidi="ru-RU"/>
          <w:sz w:val="24"/>
          <w:szCs w:val="24"/>
          <w:w w:val="100"/>
          <w:spacing w:val="0"/>
          <w:color w:val="000000"/>
          <w:position w:val="0"/>
        </w:rPr>
        <w:t xml:space="preserve">№02-01-40 товары подпадают под действие Постановления Правительства РФ от 05.02.2015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8"/>
        <w:widowControl w:val="0"/>
        <w:keepNext w:val="0"/>
        <w:keepLines w:val="0"/>
        <w:shd w:val="clear" w:color="auto" w:fill="auto"/>
        <w:bidi w:val="0"/>
        <w:jc w:val="both"/>
        <w:spacing w:before="0" w:after="0" w:line="274" w:lineRule="exact"/>
        <w:ind w:left="20" w:right="0" w:firstLine="700"/>
      </w:pPr>
      <w:r>
        <w:rPr>
          <w:lang w:val="ru-RU" w:eastAsia="ru-RU" w:bidi="ru-RU"/>
          <w:sz w:val="24"/>
          <w:szCs w:val="24"/>
          <w:w w:val="100"/>
          <w:spacing w:val="0"/>
          <w:color w:val="000000"/>
          <w:position w:val="0"/>
        </w:rPr>
        <w:t>Таким образом, в действиях Заказчика отсутствуют нарушения положений ч. 3 ст. 14, п. 1.</w:t>
      </w:r>
    </w:p>
    <w:p>
      <w:pPr>
        <w:pStyle w:val="Style8"/>
        <w:tabs>
          <w:tab w:leader="none" w:pos="318" w:val="left"/>
        </w:tabs>
        <w:widowControl w:val="0"/>
        <w:keepNext w:val="0"/>
        <w:keepLines w:val="0"/>
        <w:shd w:val="clear" w:color="auto" w:fill="auto"/>
        <w:bidi w:val="0"/>
        <w:jc w:val="both"/>
        <w:spacing w:before="0" w:after="240" w:line="274" w:lineRule="exact"/>
        <w:ind w:left="20" w:right="0" w:firstLine="0"/>
      </w:pPr>
      <w:r>
        <w:rPr>
          <w:lang w:val="ru-RU" w:eastAsia="ru-RU" w:bidi="ru-RU"/>
          <w:sz w:val="24"/>
          <w:szCs w:val="24"/>
          <w:w w:val="100"/>
          <w:spacing w:val="0"/>
          <w:color w:val="000000"/>
          <w:position w:val="0"/>
        </w:rPr>
        <w:t>ч.</w:t>
        <w:tab/>
        <w:t>1 ст.ЗЗ Закона о контрактной системе .</w:t>
      </w:r>
    </w:p>
    <w:p>
      <w:pPr>
        <w:pStyle w:val="Style8"/>
        <w:widowControl w:val="0"/>
        <w:keepNext w:val="0"/>
        <w:keepLines w:val="0"/>
        <w:shd w:val="clear" w:color="auto" w:fill="auto"/>
        <w:bidi w:val="0"/>
        <w:jc w:val="both"/>
        <w:spacing w:before="0" w:after="87" w:line="274" w:lineRule="exact"/>
        <w:ind w:left="20" w:right="40" w:firstLine="58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4"/>
        <w:widowControl w:val="0"/>
        <w:keepNext/>
        <w:keepLines/>
        <w:shd w:val="clear" w:color="auto" w:fill="auto"/>
        <w:bidi w:val="0"/>
        <w:spacing w:before="0" w:after="146" w:line="240" w:lineRule="exact"/>
        <w:ind w:left="0" w:right="0" w:firstLine="0"/>
      </w:pPr>
      <w:bookmarkStart w:id="1" w:name="bookmark1"/>
      <w:r>
        <w:rPr>
          <w:lang w:val="ru-RU" w:eastAsia="ru-RU" w:bidi="ru-RU"/>
          <w:sz w:val="24"/>
          <w:szCs w:val="24"/>
          <w:w w:val="100"/>
          <w:spacing w:val="0"/>
          <w:color w:val="000000"/>
          <w:position w:val="0"/>
        </w:rPr>
        <w:t>Решила:</w:t>
      </w:r>
      <w:bookmarkEnd w:id="1"/>
    </w:p>
    <w:p>
      <w:pPr>
        <w:pStyle w:val="Style8"/>
        <w:numPr>
          <w:ilvl w:val="0"/>
          <w:numId w:val="9"/>
        </w:numPr>
        <w:widowControl w:val="0"/>
        <w:keepNext w:val="0"/>
        <w:keepLines w:val="0"/>
        <w:shd w:val="clear" w:color="auto" w:fill="auto"/>
        <w:bidi w:val="0"/>
        <w:jc w:val="both"/>
        <w:spacing w:before="0" w:after="0" w:line="274" w:lineRule="exact"/>
        <w:ind w:left="20" w:right="0" w:firstLine="580"/>
      </w:pPr>
      <w:r>
        <w:rPr>
          <w:lang w:val="ru-RU" w:eastAsia="ru-RU" w:bidi="ru-RU"/>
          <w:sz w:val="24"/>
          <w:szCs w:val="24"/>
          <w:w w:val="100"/>
          <w:spacing w:val="0"/>
          <w:color w:val="000000"/>
          <w:position w:val="0"/>
        </w:rPr>
        <w:t xml:space="preserve"> Признать жалобуООО «Оргремстрой» (ИНН 2221192343, ОГРН 2221115009016) от</w:t>
      </w:r>
    </w:p>
    <w:p>
      <w:pPr>
        <w:pStyle w:val="Style8"/>
        <w:numPr>
          <w:ilvl w:val="0"/>
          <w:numId w:val="11"/>
        </w:numPr>
        <w:tabs>
          <w:tab w:leader="none" w:pos="1230" w:val="left"/>
        </w:tabs>
        <w:widowControl w:val="0"/>
        <w:keepNext w:val="0"/>
        <w:keepLines w:val="0"/>
        <w:shd w:val="clear" w:color="auto" w:fill="auto"/>
        <w:bidi w:val="0"/>
        <w:jc w:val="both"/>
        <w:spacing w:before="0" w:after="0" w:line="274" w:lineRule="exact"/>
        <w:ind w:left="20" w:right="40" w:firstLine="0"/>
      </w:pPr>
      <w:r>
        <w:rPr>
          <w:lang w:val="ru-RU" w:eastAsia="ru-RU" w:bidi="ru-RU"/>
          <w:sz w:val="24"/>
          <w:szCs w:val="24"/>
          <w:w w:val="100"/>
          <w:spacing w:val="0"/>
          <w:color w:val="000000"/>
          <w:position w:val="0"/>
        </w:rPr>
        <w:t>№1171-ж на действия Заказчика - МКУ «Управление капитального строительства», Уполномоченного органа - Администрация города Сургута, при проведении электронного аукциона, предметом которого является выполнение работ по строительству объекта "Средняя общеобразовательная школа в микрорайоне 33 г. Сургута" (извещение №0187300006519001225) необоснованной.</w:t>
      </w:r>
    </w:p>
    <w:p>
      <w:pPr>
        <w:pStyle w:val="Style8"/>
        <w:numPr>
          <w:ilvl w:val="0"/>
          <w:numId w:val="9"/>
        </w:numPr>
        <w:widowControl w:val="0"/>
        <w:keepNext w:val="0"/>
        <w:keepLines w:val="0"/>
        <w:shd w:val="clear" w:color="auto" w:fill="auto"/>
        <w:bidi w:val="0"/>
        <w:jc w:val="both"/>
        <w:spacing w:before="0" w:after="5" w:line="274" w:lineRule="exact"/>
        <w:ind w:left="20" w:right="0" w:firstLine="580"/>
      </w:pPr>
      <w:r>
        <w:rPr>
          <w:lang w:val="ru-RU" w:eastAsia="ru-RU" w:bidi="ru-RU"/>
          <w:sz w:val="24"/>
          <w:szCs w:val="24"/>
          <w:w w:val="100"/>
          <w:spacing w:val="0"/>
          <w:color w:val="000000"/>
          <w:position w:val="0"/>
        </w:rPr>
        <w:t xml:space="preserve"> Направить данное решение сторонам и опубликовать на официальном сайте единой</w:t>
      </w:r>
    </w:p>
    <w:sectPr>
      <w:type w:val="continuous"/>
      <w:pgSz w:w="11906" w:h="16838"/>
      <w:pgMar w:top="1811" w:left="848" w:right="781" w:bottom="9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8"/>
      <w:numFmt w:val="decimal"/>
      <w:lvlText w:val="12.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9"/>
      <w:numFmt w:val="decimal"/>
      <w:lvlText w:val="28.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6">
    <w:name w:val="Основной текст (2) + 9 pt"/>
    <w:basedOn w:val="CharStyle4"/>
    <w:rPr>
      <w:lang w:val="ru-RU" w:eastAsia="ru-RU" w:bidi="ru-RU"/>
      <w:sz w:val="18"/>
      <w:szCs w:val="18"/>
      <w:w w:val="100"/>
      <w:spacing w:val="0"/>
      <w:color w:val="000000"/>
      <w:position w:val="0"/>
    </w:rPr>
  </w:style>
  <w:style w:type="character" w:customStyle="1" w:styleId="CharStyle7">
    <w:name w:val="Основной текст (2) + 9 pt"/>
    <w:basedOn w:val="CharStyle4"/>
    <w:rPr>
      <w:lang w:val="en-US" w:eastAsia="en-US" w:bidi="en-US"/>
      <w:u w:val="single"/>
      <w:sz w:val="18"/>
      <w:szCs w:val="18"/>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 Franklin Gothic Medium,18 pt,Курсив"/>
    <w:basedOn w:val="CharStyle9"/>
    <w:rPr>
      <w:lang w:val="ru-RU" w:eastAsia="ru-RU" w:bidi="ru-RU"/>
      <w:i/>
      <w:iCs/>
      <w:sz w:val="36"/>
      <w:szCs w:val="36"/>
      <w:rFonts w:ascii="Franklin Gothic Medium" w:eastAsia="Franklin Gothic Medium" w:hAnsi="Franklin Gothic Medium" w:cs="Franklin Gothic Medium"/>
      <w:w w:val="100"/>
      <w:spacing w:val="0"/>
      <w:color w:val="000000"/>
      <w:position w:val="0"/>
    </w:rPr>
  </w:style>
  <w:style w:type="character" w:customStyle="1" w:styleId="CharStyle11">
    <w:name w:val="Основной текст + Полужирный"/>
    <w:basedOn w:val="CharStyle9"/>
    <w:rPr>
      <w:lang w:val="ru-RU" w:eastAsia="ru-RU" w:bidi="ru-RU"/>
      <w:b/>
      <w:bCs/>
      <w:sz w:val="24"/>
      <w:szCs w:val="24"/>
      <w:w w:val="100"/>
      <w:spacing w:val="0"/>
      <w:color w:val="000000"/>
      <w:position w:val="0"/>
    </w:rPr>
  </w:style>
  <w:style w:type="character" w:customStyle="1" w:styleId="CharStyle12">
    <w:name w:val="Основной текст"/>
    <w:basedOn w:val="CharStyle9"/>
    <w:rPr>
      <w:lang w:val="ru-RU" w:eastAsia="ru-RU" w:bidi="ru-RU"/>
      <w:u w:val="single"/>
      <w:sz w:val="24"/>
      <w:szCs w:val="24"/>
      <w:w w:val="100"/>
      <w:spacing w:val="0"/>
      <w:color w:val="000000"/>
      <w:position w:val="0"/>
    </w:rPr>
  </w:style>
  <w:style w:type="character" w:customStyle="1" w:styleId="CharStyle1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15">
    <w:name w:val="Заголовок №1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6">
    <w:name w:val="Основной текст + Полужирный"/>
    <w:basedOn w:val="CharStyle9"/>
    <w:rPr>
      <w:lang w:val="ru-RU" w:eastAsia="ru-RU" w:bidi="ru-RU"/>
      <w:b/>
      <w:bCs/>
      <w:u w:val="single"/>
      <w:sz w:val="24"/>
      <w:szCs w:val="24"/>
      <w:w w:val="100"/>
      <w:spacing w:val="0"/>
      <w:color w:val="000000"/>
      <w:position w:val="0"/>
    </w:rPr>
  </w:style>
  <w:style w:type="character" w:customStyle="1" w:styleId="CharStyle17">
    <w:name w:val="Основной текст + Полужирный,Интервал 1 pt"/>
    <w:basedOn w:val="CharStyle9"/>
    <w:rPr>
      <w:lang w:val="ru-RU" w:eastAsia="ru-RU" w:bidi="ru-RU"/>
      <w:b/>
      <w:bCs/>
      <w:sz w:val="24"/>
      <w:szCs w:val="24"/>
      <w:w w:val="100"/>
      <w:spacing w:val="30"/>
      <w:color w:val="000000"/>
      <w:position w:val="0"/>
    </w:rPr>
  </w:style>
  <w:style w:type="character" w:customStyle="1" w:styleId="CharStyle18">
    <w:name w:val="Основной текст + Малые прописные"/>
    <w:basedOn w:val="CharStyle9"/>
    <w:rPr>
      <w:lang w:val="en-US" w:eastAsia="en-US" w:bidi="en-US"/>
      <w:smallCaps/>
      <w:sz w:val="24"/>
      <w:szCs w:val="24"/>
      <w:w w:val="100"/>
      <w:spacing w:val="0"/>
      <w:color w:val="000000"/>
      <w:position w:val="0"/>
    </w:rPr>
  </w:style>
  <w:style w:type="character" w:customStyle="1" w:styleId="CharStyle19">
    <w:name w:val="Основной текст"/>
    <w:basedOn w:val="CharStyle9"/>
    <w:rPr>
      <w:lang w:val="ru-RU" w:eastAsia="ru-RU" w:bidi="ru-RU"/>
      <w:sz w:val="24"/>
      <w:szCs w:val="24"/>
      <w:w w:val="100"/>
      <w:spacing w:val="0"/>
      <w:color w:val="000000"/>
      <w:position w:val="0"/>
    </w:rPr>
  </w:style>
  <w:style w:type="character" w:customStyle="1" w:styleId="CharStyle20">
    <w:name w:val="Основной текст + 11 pt"/>
    <w:basedOn w:val="CharStyle9"/>
    <w:rPr>
      <w:lang w:val="ru-RU" w:eastAsia="ru-RU" w:bidi="ru-RU"/>
      <w:sz w:val="22"/>
      <w:szCs w:val="22"/>
      <w:w w:val="100"/>
      <w:spacing w:val="0"/>
      <w:color w:val="000000"/>
      <w:position w:val="0"/>
    </w:rPr>
  </w:style>
  <w:style w:type="character" w:customStyle="1" w:styleId="CharStyle21">
    <w:name w:val="Основной текст + 11 pt,Малые прописные"/>
    <w:basedOn w:val="CharStyle9"/>
    <w:rPr>
      <w:lang w:val="en-US" w:eastAsia="en-US" w:bidi="en-US"/>
      <w:smallCaps/>
      <w:sz w:val="22"/>
      <w:szCs w:val="22"/>
      <w:w w:val="100"/>
      <w:spacing w:val="0"/>
      <w:color w:val="000000"/>
      <w:position w:val="0"/>
    </w:rPr>
  </w:style>
  <w:style w:type="character" w:customStyle="1" w:styleId="CharStyle22">
    <w:name w:val="Основной текст + Интервал 1 pt"/>
    <w:basedOn w:val="CharStyle9"/>
    <w:rPr>
      <w:lang w:val="ru-RU" w:eastAsia="ru-RU" w:bidi="ru-RU"/>
      <w:sz w:val="24"/>
      <w:szCs w:val="24"/>
      <w:w w:val="100"/>
      <w:spacing w:val="2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180" w:line="264"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180" w:line="0"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center"/>
      <w:outlineLvl w:val="0"/>
      <w:spacing w:before="120" w:after="24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