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2231" w:y="4102"/>
        <w:widowControl w:val="0"/>
        <w:keepNext w:val="0"/>
        <w:keepLines w:val="0"/>
        <w:shd w:val="clear" w:color="auto" w:fill="auto"/>
        <w:bidi w:val="0"/>
        <w:jc w:val="left"/>
        <w:spacing w:before="0" w:after="0" w:line="190" w:lineRule="exact"/>
        <w:ind w:left="100" w:right="0" w:firstLine="0"/>
      </w:pPr>
      <w:r>
        <w:rPr>
          <w:rStyle w:val="CharStyle5"/>
          <w:spacing w:val="0"/>
        </w:rPr>
        <w:t>от</w:t>
      </w:r>
    </w:p>
    <w:p>
      <w:pPr>
        <w:widowControl w:val="0"/>
        <w:rPr>
          <w:sz w:val="2"/>
          <w:szCs w:val="2"/>
        </w:rPr>
      </w:pPr>
    </w:p>
    <w:p>
      <w:pPr>
        <w:pStyle w:val="Style3"/>
        <w:widowControl w:val="0"/>
        <w:keepNext w:val="0"/>
        <w:keepLines w:val="0"/>
        <w:shd w:val="clear" w:color="auto" w:fill="auto"/>
        <w:bidi w:val="0"/>
        <w:spacing w:before="137" w:after="29"/>
        <w:ind w:left="0" w:right="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106"/>
        <w:ind w:left="0" w:right="0" w:firstLine="0"/>
      </w:pPr>
      <w:r>
        <w:rPr>
          <w:rStyle w:val="CharStyle10"/>
        </w:rPr>
        <w:t>УПРАВЛЕНИЕ Федеральной антимонопольной службы по Томской области</w:t>
      </w:r>
    </w:p>
    <w:p>
      <w:pPr>
        <w:pStyle w:val="Style11"/>
        <w:widowControl w:val="0"/>
        <w:keepNext w:val="0"/>
        <w:keepLines w:val="0"/>
        <w:shd w:val="clear" w:color="auto" w:fill="auto"/>
        <w:bidi w:val="0"/>
        <w:jc w:val="left"/>
        <w:spacing w:before="0" w:after="677"/>
        <w:ind w:left="1040" w:right="1140" w:firstLine="0"/>
      </w:pPr>
      <w:r>
        <w:rPr>
          <w:rStyle w:val="CharStyle13"/>
        </w:rPr>
        <w:t xml:space="preserve">пр. Ленина. 111, г. Томск, 634069 тел./факс (3822) 51-29-80 </w:t>
      </w:r>
      <w:r>
        <w:rPr>
          <w:rStyle w:val="CharStyle13"/>
          <w:lang w:val="en-US" w:eastAsia="en-US" w:bidi="en-US"/>
        </w:rPr>
        <w:t xml:space="preserve">e-m ail: </w:t>
      </w:r>
      <w:r>
        <w:rPr>
          <w:rStyle w:val="CharStyle14"/>
        </w:rPr>
        <w:t xml:space="preserve">to </w:t>
      </w:r>
      <w:r>
        <w:rPr>
          <w:rStyle w:val="CharStyle14"/>
          <w:lang w:val="ru-RU" w:eastAsia="ru-RU" w:bidi="ru-RU"/>
        </w:rPr>
        <w:t xml:space="preserve">70@. </w:t>
      </w:r>
      <w:r>
        <w:rPr>
          <w:rStyle w:val="CharStyle14"/>
        </w:rPr>
        <w:t>fas</w:t>
      </w:r>
      <w:r>
        <w:rPr>
          <w:rStyle w:val="CharStyle14"/>
          <w:lang w:val="ru-RU" w:eastAsia="ru-RU" w:bidi="ru-RU"/>
        </w:rPr>
        <w:t xml:space="preserve">. </w:t>
      </w:r>
      <w:r>
        <w:rPr>
          <w:rStyle w:val="CharStyle14"/>
        </w:rPr>
        <w:t>gov.ru</w:t>
      </w:r>
      <w:r>
        <w:rPr>
          <w:rStyle w:val="CharStyle13"/>
          <w:lang w:val="en-US" w:eastAsia="en-US" w:bidi="en-US"/>
        </w:rPr>
        <w:t xml:space="preserve"> </w:t>
      </w:r>
      <w:r>
        <w:rPr>
          <w:rStyle w:val="CharStyle15"/>
        </w:rPr>
        <w:t>„</w:t>
      </w:r>
    </w:p>
    <w:p>
      <w:pPr>
        <w:pStyle w:val="Style3"/>
        <w:widowControl w:val="0"/>
        <w:keepNext w:val="0"/>
        <w:keepLines w:val="0"/>
        <w:shd w:val="clear" w:color="auto" w:fill="auto"/>
        <w:bidi w:val="0"/>
        <w:jc w:val="left"/>
        <w:spacing w:before="0" w:after="0" w:line="200" w:lineRule="exact"/>
        <w:ind w:left="0" w:right="0" w:firstLine="0"/>
      </w:pPr>
      <w:r>
        <w:rPr>
          <w:rStyle w:val="CharStyle16"/>
        </w:rPr>
        <w:t>Ha №</w:t>
      </w:r>
    </w:p>
    <w:p>
      <w:pPr>
        <w:pStyle w:val="Style3"/>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Заявитель:</w:t>
      </w:r>
    </w:p>
    <w:p>
      <w:pPr>
        <w:pStyle w:val="Style8"/>
        <w:tabs>
          <w:tab w:leader="none" w:pos="2161" w:val="left"/>
          <w:tab w:leader="none" w:pos="4813" w:val="righ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Общество</w:t>
        <w:tab/>
        <w:t>с</w:t>
        <w:tab/>
        <w:t>ограниченной</w:t>
      </w:r>
    </w:p>
    <w:p>
      <w:pPr>
        <w:pStyle w:val="Style8"/>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ответственностью «Трансвуд»</w:t>
      </w:r>
    </w:p>
    <w:p>
      <w:pPr>
        <w:pStyle w:val="Style3"/>
        <w:widowControl w:val="0"/>
        <w:keepNext w:val="0"/>
        <w:keepLines w:val="0"/>
        <w:shd w:val="clear" w:color="auto" w:fill="auto"/>
        <w:bidi w:val="0"/>
        <w:jc w:val="right"/>
        <w:spacing w:before="0" w:after="0" w:line="254" w:lineRule="exact"/>
        <w:ind w:left="0" w:right="60" w:firstLine="0"/>
      </w:pPr>
      <w:r>
        <w:rPr>
          <w:lang w:val="ru-RU" w:eastAsia="ru-RU" w:bidi="ru-RU"/>
          <w:w w:val="100"/>
          <w:spacing w:val="0"/>
          <w:color w:val="000000"/>
          <w:position w:val="0"/>
        </w:rPr>
        <w:t>адрес:</w:t>
      </w:r>
    </w:p>
    <w:p>
      <w:pPr>
        <w:pStyle w:val="Style3"/>
        <w:widowControl w:val="0"/>
        <w:keepNext w:val="0"/>
        <w:keepLines w:val="0"/>
        <w:shd w:val="clear" w:color="auto" w:fill="auto"/>
        <w:bidi w:val="0"/>
        <w:jc w:val="right"/>
        <w:spacing w:before="0" w:after="0" w:line="254" w:lineRule="exact"/>
        <w:ind w:left="440" w:right="60" w:firstLine="0"/>
      </w:pPr>
      <w:r>
        <w:rPr>
          <w:lang w:val="ru-RU" w:eastAsia="ru-RU" w:bidi="ru-RU"/>
          <w:w w:val="100"/>
          <w:spacing w:val="0"/>
          <w:color w:val="000000"/>
          <w:position w:val="0"/>
        </w:rPr>
        <w:t>ул. Черняховского, 41, г. Березовский, Кемеровская обл., 652420</w:t>
      </w:r>
    </w:p>
    <w:p>
      <w:pPr>
        <w:pStyle w:val="Style3"/>
        <w:widowControl w:val="0"/>
        <w:keepNext w:val="0"/>
        <w:keepLines w:val="0"/>
        <w:shd w:val="clear" w:color="auto" w:fill="auto"/>
        <w:bidi w:val="0"/>
        <w:jc w:val="both"/>
        <w:spacing w:before="0" w:after="0" w:line="254" w:lineRule="exact"/>
        <w:ind w:left="20" w:right="0" w:firstLine="0"/>
      </w:pPr>
      <w:r>
        <w:rPr>
          <w:lang w:val="ru-RU" w:eastAsia="ru-RU" w:bidi="ru-RU"/>
          <w:w w:val="100"/>
          <w:spacing w:val="0"/>
          <w:color w:val="000000"/>
          <w:position w:val="0"/>
        </w:rPr>
        <w:t>Заказчики:</w:t>
      </w:r>
    </w:p>
    <w:p>
      <w:pPr>
        <w:pStyle w:val="Style8"/>
        <w:widowControl w:val="0"/>
        <w:keepNext w:val="0"/>
        <w:keepLines w:val="0"/>
        <w:shd w:val="clear" w:color="auto" w:fill="auto"/>
        <w:bidi w:val="0"/>
        <w:jc w:val="both"/>
        <w:spacing w:before="0" w:after="0" w:line="298" w:lineRule="exact"/>
        <w:ind w:left="20" w:right="60" w:firstLine="0"/>
      </w:pPr>
      <w:r>
        <w:rPr>
          <w:lang w:val="ru-RU" w:eastAsia="ru-RU" w:bidi="ru-RU"/>
          <w:w w:val="100"/>
          <w:spacing w:val="0"/>
          <w:color w:val="000000"/>
          <w:position w:val="0"/>
        </w:rPr>
        <w:t>Муниципальное унитарное предприятие Асиновского городского поселения «Энергия-Т1»</w:t>
      </w:r>
    </w:p>
    <w:p>
      <w:pPr>
        <w:pStyle w:val="Style3"/>
        <w:widowControl w:val="0"/>
        <w:keepNext w:val="0"/>
        <w:keepLines w:val="0"/>
        <w:shd w:val="clear" w:color="auto" w:fill="auto"/>
        <w:bidi w:val="0"/>
        <w:jc w:val="right"/>
        <w:spacing w:before="0" w:after="14" w:line="200" w:lineRule="exact"/>
        <w:ind w:left="0" w:right="60" w:firstLine="0"/>
      </w:pPr>
      <w:r>
        <w:rPr>
          <w:lang w:val="ru-RU" w:eastAsia="ru-RU" w:bidi="ru-RU"/>
          <w:w w:val="100"/>
          <w:spacing w:val="0"/>
          <w:color w:val="000000"/>
          <w:position w:val="0"/>
        </w:rPr>
        <w:t>адрес:</w:t>
      </w:r>
    </w:p>
    <w:p>
      <w:pPr>
        <w:pStyle w:val="Style3"/>
        <w:widowControl w:val="0"/>
        <w:keepNext w:val="0"/>
        <w:keepLines w:val="0"/>
        <w:shd w:val="clear" w:color="auto" w:fill="auto"/>
        <w:bidi w:val="0"/>
        <w:jc w:val="right"/>
        <w:spacing w:before="0" w:after="0" w:line="200" w:lineRule="exact"/>
        <w:ind w:left="0" w:right="60" w:firstLine="0"/>
      </w:pPr>
      <w:r>
        <w:rPr>
          <w:lang w:val="ru-RU" w:eastAsia="ru-RU" w:bidi="ru-RU"/>
          <w:w w:val="100"/>
          <w:spacing w:val="0"/>
          <w:color w:val="000000"/>
          <w:position w:val="0"/>
        </w:rPr>
        <w:t>ул. Ивана Буева, 67, г. Асино, Томская обл.,</w:t>
      </w:r>
    </w:p>
    <w:p>
      <w:pPr>
        <w:pStyle w:val="Style3"/>
        <w:widowControl w:val="0"/>
        <w:keepNext w:val="0"/>
        <w:keepLines w:val="0"/>
        <w:shd w:val="clear" w:color="auto" w:fill="auto"/>
        <w:bidi w:val="0"/>
        <w:jc w:val="right"/>
        <w:spacing w:before="0" w:after="0" w:line="293" w:lineRule="exact"/>
        <w:ind w:left="0" w:right="60" w:firstLine="0"/>
      </w:pPr>
      <w:r>
        <w:rPr>
          <w:lang w:val="ru-RU" w:eastAsia="ru-RU" w:bidi="ru-RU"/>
          <w:w w:val="100"/>
          <w:spacing w:val="0"/>
          <w:color w:val="000000"/>
          <w:position w:val="0"/>
        </w:rPr>
        <w:t>636840</w:t>
      </w:r>
    </w:p>
    <w:p>
      <w:pPr>
        <w:pStyle w:val="Style8"/>
        <w:tabs>
          <w:tab w:leader="none" w:pos="4813" w:val="right"/>
        </w:tabs>
        <w:widowControl w:val="0"/>
        <w:keepNext w:val="0"/>
        <w:keepLines w:val="0"/>
        <w:shd w:val="clear" w:color="auto" w:fill="auto"/>
        <w:bidi w:val="0"/>
        <w:jc w:val="both"/>
        <w:spacing w:before="0" w:after="0" w:line="293" w:lineRule="exact"/>
        <w:ind w:left="20" w:right="60" w:firstLine="0"/>
      </w:pPr>
      <w:r>
        <w:rPr>
          <w:lang w:val="ru-RU" w:eastAsia="ru-RU" w:bidi="ru-RU"/>
          <w:w w:val="100"/>
          <w:spacing w:val="0"/>
          <w:color w:val="000000"/>
          <w:position w:val="0"/>
        </w:rPr>
        <w:t>Муниципальное унитарное предприятие Асиновского городского</w:t>
        <w:tab/>
        <w:t>поселения</w:t>
      </w:r>
    </w:p>
    <w:p>
      <w:pPr>
        <w:pStyle w:val="Style8"/>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«Энергия-Т2»</w:t>
      </w:r>
    </w:p>
    <w:p>
      <w:pPr>
        <w:pStyle w:val="Style3"/>
        <w:widowControl w:val="0"/>
        <w:keepNext w:val="0"/>
        <w:keepLines w:val="0"/>
        <w:shd w:val="clear" w:color="auto" w:fill="auto"/>
        <w:bidi w:val="0"/>
        <w:jc w:val="right"/>
        <w:spacing w:before="0" w:after="18" w:line="200" w:lineRule="exact"/>
        <w:ind w:left="0" w:right="60" w:firstLine="0"/>
      </w:pPr>
      <w:r>
        <w:rPr>
          <w:lang w:val="ru-RU" w:eastAsia="ru-RU" w:bidi="ru-RU"/>
          <w:w w:val="100"/>
          <w:spacing w:val="0"/>
          <w:color w:val="000000"/>
          <w:position w:val="0"/>
        </w:rPr>
        <w:t>адрес:</w:t>
      </w:r>
    </w:p>
    <w:p>
      <w:pPr>
        <w:pStyle w:val="Style3"/>
        <w:widowControl w:val="0"/>
        <w:keepNext w:val="0"/>
        <w:keepLines w:val="0"/>
        <w:shd w:val="clear" w:color="auto" w:fill="auto"/>
        <w:bidi w:val="0"/>
        <w:jc w:val="right"/>
        <w:spacing w:before="0" w:after="0" w:line="200" w:lineRule="exact"/>
        <w:ind w:left="0" w:right="60" w:firstLine="0"/>
      </w:pPr>
      <w:r>
        <w:rPr>
          <w:lang w:val="ru-RU" w:eastAsia="ru-RU" w:bidi="ru-RU"/>
          <w:w w:val="100"/>
          <w:spacing w:val="0"/>
          <w:color w:val="000000"/>
          <w:position w:val="0"/>
        </w:rPr>
        <w:t>ул. Ивана Буева, 67, г. Асино, Томская обл.,</w:t>
      </w:r>
    </w:p>
    <w:p>
      <w:pPr>
        <w:pStyle w:val="Style3"/>
        <w:widowControl w:val="0"/>
        <w:keepNext w:val="0"/>
        <w:keepLines w:val="0"/>
        <w:shd w:val="clear" w:color="auto" w:fill="auto"/>
        <w:bidi w:val="0"/>
        <w:jc w:val="right"/>
        <w:spacing w:before="0" w:after="0" w:line="293" w:lineRule="exact"/>
        <w:ind w:left="0" w:right="60" w:firstLine="0"/>
      </w:pPr>
      <w:r>
        <w:rPr>
          <w:lang w:val="ru-RU" w:eastAsia="ru-RU" w:bidi="ru-RU"/>
          <w:w w:val="100"/>
          <w:spacing w:val="0"/>
          <w:color w:val="000000"/>
          <w:position w:val="0"/>
        </w:rPr>
        <w:t>636840</w:t>
      </w:r>
    </w:p>
    <w:p>
      <w:pPr>
        <w:pStyle w:val="Style8"/>
        <w:tabs>
          <w:tab w:leader="none" w:pos="4813" w:val="right"/>
        </w:tabs>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Муниципальное унитарное</w:t>
        <w:tab/>
        <w:t>предприятие</w:t>
      </w:r>
    </w:p>
    <w:p>
      <w:pPr>
        <w:pStyle w:val="Style8"/>
        <w:tabs>
          <w:tab w:leader="none" w:pos="4813" w:val="right"/>
        </w:tabs>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Асиновского городского</w:t>
        <w:tab/>
        <w:t>поселения</w:t>
      </w:r>
    </w:p>
    <w:p>
      <w:pPr>
        <w:pStyle w:val="Style8"/>
        <w:widowControl w:val="0"/>
        <w:keepNext w:val="0"/>
        <w:keepLines w:val="0"/>
        <w:shd w:val="clear" w:color="auto" w:fill="auto"/>
        <w:bidi w:val="0"/>
        <w:jc w:val="both"/>
        <w:spacing w:before="0" w:after="0" w:line="293" w:lineRule="exact"/>
        <w:ind w:left="20" w:right="0" w:firstLine="0"/>
      </w:pPr>
      <w:r>
        <w:rPr>
          <w:lang w:val="ru-RU" w:eastAsia="ru-RU" w:bidi="ru-RU"/>
          <w:w w:val="100"/>
          <w:spacing w:val="0"/>
          <w:color w:val="000000"/>
          <w:position w:val="0"/>
        </w:rPr>
        <w:t>«Энергия-ТЗ»</w:t>
      </w:r>
    </w:p>
    <w:p>
      <w:pPr>
        <w:pStyle w:val="Style3"/>
        <w:widowControl w:val="0"/>
        <w:keepNext w:val="0"/>
        <w:keepLines w:val="0"/>
        <w:shd w:val="clear" w:color="auto" w:fill="auto"/>
        <w:bidi w:val="0"/>
        <w:jc w:val="right"/>
        <w:spacing w:before="0" w:after="0" w:line="254" w:lineRule="exact"/>
        <w:ind w:left="0" w:right="60" w:firstLine="0"/>
      </w:pPr>
      <w:r>
        <w:rPr>
          <w:lang w:val="ru-RU" w:eastAsia="ru-RU" w:bidi="ru-RU"/>
          <w:w w:val="100"/>
          <w:spacing w:val="0"/>
          <w:color w:val="000000"/>
          <w:position w:val="0"/>
        </w:rPr>
        <w:t>адрес:</w:t>
      </w:r>
    </w:p>
    <w:p>
      <w:pPr>
        <w:pStyle w:val="Style3"/>
        <w:widowControl w:val="0"/>
        <w:keepNext w:val="0"/>
        <w:keepLines w:val="0"/>
        <w:shd w:val="clear" w:color="auto" w:fill="auto"/>
        <w:bidi w:val="0"/>
        <w:jc w:val="right"/>
        <w:spacing w:before="0" w:after="0" w:line="254" w:lineRule="exact"/>
        <w:ind w:left="0" w:right="60" w:firstLine="0"/>
      </w:pPr>
      <w:r>
        <w:rPr>
          <w:lang w:val="ru-RU" w:eastAsia="ru-RU" w:bidi="ru-RU"/>
          <w:w w:val="100"/>
          <w:spacing w:val="0"/>
          <w:color w:val="000000"/>
          <w:position w:val="0"/>
        </w:rPr>
        <w:t>ул. Ивана Буева, 67, г. Асино, Томская обл.,</w:t>
      </w:r>
    </w:p>
    <w:p>
      <w:pPr>
        <w:pStyle w:val="Style3"/>
        <w:widowControl w:val="0"/>
        <w:keepNext w:val="0"/>
        <w:keepLines w:val="0"/>
        <w:shd w:val="clear" w:color="auto" w:fill="auto"/>
        <w:bidi w:val="0"/>
        <w:jc w:val="right"/>
        <w:spacing w:before="0" w:after="0" w:line="254" w:lineRule="exact"/>
        <w:ind w:left="0" w:right="60" w:firstLine="0"/>
      </w:pPr>
      <w:r>
        <w:rPr>
          <w:lang w:val="ru-RU" w:eastAsia="ru-RU" w:bidi="ru-RU"/>
          <w:w w:val="100"/>
          <w:spacing w:val="0"/>
          <w:color w:val="000000"/>
          <w:position w:val="0"/>
        </w:rPr>
        <w:t>636840</w:t>
      </w:r>
    </w:p>
    <w:p>
      <w:pPr>
        <w:pStyle w:val="Style3"/>
        <w:widowControl w:val="0"/>
        <w:keepNext w:val="0"/>
        <w:keepLines w:val="0"/>
        <w:shd w:val="clear" w:color="auto" w:fill="auto"/>
        <w:bidi w:val="0"/>
        <w:jc w:val="both"/>
        <w:spacing w:before="0" w:after="0" w:line="254" w:lineRule="exact"/>
        <w:ind w:left="20" w:right="60" w:firstLine="0"/>
      </w:pPr>
      <w:r>
        <w:rPr>
          <w:lang w:val="ru-RU" w:eastAsia="ru-RU" w:bidi="ru-RU"/>
          <w:w w:val="100"/>
          <w:spacing w:val="0"/>
          <w:color w:val="000000"/>
          <w:position w:val="0"/>
        </w:rPr>
        <w:t>Уполномоченное учреждение и аукционная комиссия:</w:t>
      </w:r>
    </w:p>
    <w:p>
      <w:pPr>
        <w:pStyle w:val="Style8"/>
        <w:tabs>
          <w:tab w:leader="none" w:pos="4813" w:val="right"/>
        </w:tabs>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Муниципальное казенное</w:t>
        <w:tab/>
        <w:t>учреждение</w:t>
      </w:r>
    </w:p>
    <w:p>
      <w:pPr>
        <w:pStyle w:val="Style8"/>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«Центр закупок Асиновского района»</w:t>
      </w:r>
    </w:p>
    <w:p>
      <w:pPr>
        <w:pStyle w:val="Style3"/>
        <w:widowControl w:val="0"/>
        <w:keepNext w:val="0"/>
        <w:keepLines w:val="0"/>
        <w:shd w:val="clear" w:color="auto" w:fill="auto"/>
        <w:bidi w:val="0"/>
        <w:jc w:val="right"/>
        <w:spacing w:before="0" w:after="0" w:line="250" w:lineRule="exact"/>
        <w:ind w:left="0" w:right="60" w:firstLine="0"/>
      </w:pPr>
      <w:r>
        <w:rPr>
          <w:lang w:val="ru-RU" w:eastAsia="ru-RU" w:bidi="ru-RU"/>
          <w:w w:val="100"/>
          <w:spacing w:val="0"/>
          <w:color w:val="000000"/>
          <w:position w:val="0"/>
        </w:rPr>
        <w:t>адрес:</w:t>
      </w:r>
    </w:p>
    <w:p>
      <w:pPr>
        <w:pStyle w:val="Style3"/>
        <w:widowControl w:val="0"/>
        <w:keepNext w:val="0"/>
        <w:keepLines w:val="0"/>
        <w:shd w:val="clear" w:color="auto" w:fill="auto"/>
        <w:bidi w:val="0"/>
        <w:jc w:val="right"/>
        <w:spacing w:before="0" w:after="0" w:line="250" w:lineRule="exact"/>
        <w:ind w:left="0" w:right="60" w:firstLine="0"/>
      </w:pPr>
      <w:r>
        <w:rPr>
          <w:lang w:val="ru-RU" w:eastAsia="ru-RU" w:bidi="ru-RU"/>
          <w:w w:val="100"/>
          <w:spacing w:val="0"/>
          <w:color w:val="000000"/>
          <w:position w:val="0"/>
        </w:rPr>
        <w:t>ул. имени Ленина, 40, г. Асино, Томская обл.,</w:t>
      </w:r>
    </w:p>
    <w:p>
      <w:pPr>
        <w:pStyle w:val="Style3"/>
        <w:widowControl w:val="0"/>
        <w:keepNext w:val="0"/>
        <w:keepLines w:val="0"/>
        <w:shd w:val="clear" w:color="auto" w:fill="auto"/>
        <w:bidi w:val="0"/>
        <w:jc w:val="right"/>
        <w:spacing w:before="0" w:after="0" w:line="250" w:lineRule="exact"/>
        <w:ind w:left="0" w:right="60" w:firstLine="0"/>
        <w:sectPr>
          <w:footnotePr>
            <w:pos w:val="pageBottom"/>
            <w:numFmt w:val="decimal"/>
            <w:numRestart w:val="continuous"/>
          </w:footnotePr>
          <w:type w:val="continuous"/>
          <w:pgSz w:w="11906" w:h="16838"/>
          <w:pgMar w:top="661" w:left="745" w:right="764" w:bottom="301" w:header="0" w:footer="3" w:gutter="0"/>
          <w:rtlGutter w:val="0"/>
          <w:cols w:num="2" w:space="682"/>
          <w:noEndnote/>
          <w:docGrid w:linePitch="360"/>
        </w:sectPr>
      </w:pPr>
      <w:r>
        <w:rPr>
          <w:lang w:val="ru-RU" w:eastAsia="ru-RU" w:bidi="ru-RU"/>
          <w:w w:val="100"/>
          <w:spacing w:val="0"/>
          <w:color w:val="000000"/>
          <w:position w:val="0"/>
        </w:rPr>
        <w:t>636840</w:t>
      </w: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tabs>
          <w:tab w:leader="none" w:pos="8636" w:val="right"/>
          <w:tab w:leader="none" w:pos="8781" w:val="left"/>
        </w:tabs>
        <w:widowControl w:val="0"/>
        <w:keepNext w:val="0"/>
        <w:keepLines w:val="0"/>
        <w:shd w:val="clear" w:color="auto" w:fill="auto"/>
        <w:bidi w:val="0"/>
        <w:jc w:val="left"/>
        <w:spacing w:before="0" w:after="0" w:line="317" w:lineRule="exact"/>
        <w:ind w:left="20" w:right="700" w:firstLine="4460"/>
      </w:pPr>
      <w:r>
        <w:rPr>
          <w:lang w:val="ru-RU" w:eastAsia="ru-RU" w:bidi="ru-RU"/>
          <w:w w:val="100"/>
          <w:spacing w:val="0"/>
          <w:color w:val="000000"/>
          <w:position w:val="0"/>
        </w:rPr>
        <w:t>РЕШЕНИЕ по делу №070/06/106-72/2019 о нарушении законодательства Российской Федерации о контрактной системе в сфере закупок 20.06.2019</w:t>
        <w:tab/>
        <w:t>г.</w:t>
        <w:tab/>
        <w:t>Томск</w:t>
      </w:r>
    </w:p>
    <w:p>
      <w:pPr>
        <w:pStyle w:val="Style8"/>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 ФАС России) в составе:</w:t>
      </w:r>
    </w:p>
    <w:p>
      <w:pPr>
        <w:pStyle w:val="Style8"/>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председателя комиссии:</w:t>
      </w:r>
    </w:p>
    <w:p>
      <w:pPr>
        <w:pStyle w:val="Style8"/>
        <w:framePr w:w="2224" w:h="2257" w:vSpace="52" w:wrap="around" w:vAnchor="text" w:hAnchor="margin" w:x="42" w:y="6"/>
        <w:widowControl w:val="0"/>
        <w:keepNext w:val="0"/>
        <w:keepLines w:val="0"/>
        <w:shd w:val="clear" w:color="auto" w:fill="auto"/>
        <w:bidi w:val="0"/>
        <w:jc w:val="left"/>
        <w:spacing w:before="0" w:after="69" w:line="240" w:lineRule="exact"/>
        <w:ind w:left="0" w:right="0" w:firstLine="0"/>
      </w:pPr>
      <w:r>
        <w:rPr>
          <w:rStyle w:val="CharStyle17"/>
          <w:spacing w:val="0"/>
        </w:rPr>
        <w:t>Шевченко В.И.,</w:t>
      </w:r>
    </w:p>
    <w:p>
      <w:pPr>
        <w:pStyle w:val="Style8"/>
        <w:framePr w:w="2224" w:h="2257" w:vSpace="52" w:wrap="around" w:vAnchor="text" w:hAnchor="margin" w:x="42" w:y="6"/>
        <w:widowControl w:val="0"/>
        <w:keepNext w:val="0"/>
        <w:keepLines w:val="0"/>
        <w:shd w:val="clear" w:color="auto" w:fill="auto"/>
        <w:bidi w:val="0"/>
        <w:jc w:val="left"/>
        <w:spacing w:before="0" w:after="0" w:line="317" w:lineRule="exact"/>
        <w:ind w:left="0" w:right="100" w:firstLine="0"/>
      </w:pPr>
      <w:r>
        <w:rPr>
          <w:rStyle w:val="CharStyle17"/>
          <w:spacing w:val="0"/>
        </w:rPr>
        <w:t>членов комиссии: Лосева В.Г., Якушкина К.П., Засуховой Э.Д., Стасюк М.В., Макиевой К.А.,</w:t>
      </w:r>
    </w:p>
    <w:p>
      <w:pPr>
        <w:pStyle w:val="Style8"/>
        <w:widowControl w:val="0"/>
        <w:keepNext w:val="0"/>
        <w:keepLines w:val="0"/>
        <w:shd w:val="clear" w:color="auto" w:fill="auto"/>
        <w:bidi w:val="0"/>
        <w:jc w:val="both"/>
        <w:spacing w:before="0" w:after="372" w:line="260" w:lineRule="exact"/>
        <w:ind w:left="20" w:right="0" w:firstLine="0"/>
      </w:pPr>
      <w:r>
        <w:rPr>
          <w:lang w:val="ru-RU" w:eastAsia="ru-RU" w:bidi="ru-RU"/>
          <w:w w:val="100"/>
          <w:spacing w:val="0"/>
          <w:color w:val="000000"/>
          <w:position w:val="0"/>
        </w:rPr>
        <w:t>руководителя Томского УФАС России;</w:t>
      </w:r>
    </w:p>
    <w:p>
      <w:pPr>
        <w:pStyle w:val="Style8"/>
        <w:widowControl w:val="0"/>
        <w:keepNext w:val="0"/>
        <w:keepLines w:val="0"/>
        <w:shd w:val="clear" w:color="auto" w:fill="auto"/>
        <w:bidi w:val="0"/>
        <w:jc w:val="both"/>
        <w:spacing w:before="0" w:after="0" w:line="312" w:lineRule="exact"/>
        <w:ind w:left="20" w:right="20" w:firstLine="0"/>
      </w:pPr>
      <w:r>
        <w:rPr>
          <w:lang w:val="ru-RU" w:eastAsia="ru-RU" w:bidi="ru-RU"/>
          <w:w w:val="100"/>
          <w:spacing w:val="0"/>
          <w:color w:val="000000"/>
          <w:position w:val="0"/>
        </w:rPr>
        <w:t>заместителя начальника отдела контроля закупок; главного специалиста-эксперта отдела контроля закупок; ведущего специалиста-эксперта отдела контроля закупок; специалиста-эксперта отдела контроля закупок; специалиста-эксперта отдела контроля закупок,</w:t>
      </w:r>
    </w:p>
    <w:p>
      <w:pPr>
        <w:pStyle w:val="Style8"/>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при участии представителей Общества с ограниченной ответственностью «Трансвуд» (далее - Заявитель, Общество, ООО «Трансвуд») Наяапс^вщ Д’.А. (Решение единственного учредителя ООО «Трансвуд» №2 от 10:04.2б</w:t>
      </w:r>
      <w:r>
        <w:rPr>
          <w:lang w:val="ru-RU" w:eastAsia="ru-RU" w:bidi="ru-RU"/>
          <w:vertAlign w:val="superscript"/>
          <w:w w:val="100"/>
          <w:spacing w:val="0"/>
          <w:color w:val="000000"/>
          <w:position w:val="0"/>
        </w:rPr>
        <w:t>;</w:t>
      </w:r>
      <w:r>
        <w:rPr>
          <w:lang w:val="ru-RU" w:eastAsia="ru-RU" w:bidi="ru-RU"/>
          <w:w w:val="100"/>
          <w:spacing w:val="0"/>
          <w:color w:val="000000"/>
          <w:position w:val="0"/>
        </w:rPr>
        <w:t>17),</w:t>
      </w:r>
      <w:r>
        <w:br w:type="page"/>
      </w:r>
    </w:p>
    <w:p>
      <w:pPr>
        <w:pStyle w:val="Style8"/>
        <w:widowControl w:val="0"/>
        <w:keepNext w:val="0"/>
        <w:keepLines w:val="0"/>
        <w:shd w:val="clear" w:color="auto" w:fill="auto"/>
        <w:bidi w:val="0"/>
        <w:jc w:val="both"/>
        <w:spacing w:before="0" w:after="60" w:line="317" w:lineRule="exact"/>
        <w:ind w:left="40" w:right="40" w:firstLine="0"/>
      </w:pPr>
      <w:r>
        <w:rPr>
          <w:lang w:val="ru-RU" w:eastAsia="ru-RU" w:bidi="ru-RU"/>
          <w:w w:val="100"/>
          <w:spacing w:val="0"/>
          <w:color w:val="000000"/>
          <w:position w:val="0"/>
        </w:rPr>
        <w:t>Сапуновой Н.Н. (доверенность №б/н от 20.06.2019), Артемова В.П. (доверенность №03-19 от 01.06.2019), заказчиков МУП Асиновского городского поселения «Энергия-Т1» Грехова И.В. (№б/н от 25.03.2019), МУП Асиновского городского поселения «Энергия-ТЗ» Грехова И.В. (№б/н от 25.03.2019), уполномоченного учреждения Муниципального казенного учреждения «Центр закупок Асиновского района» (далее - МКУ «Центр закупок Асиновского района», Уполномоченное учреждение) Симбуховой А.И. (доверенность №6 от 12.11.2018), члена аукционной комиссии Храмцова С.А. Симбуховой А.И. (доверенность №б/н б/д), без участия МУП Асиновского городского поселения «Энергия-Т2», уведомленного о времени и месте рассмотрения настоящего дела, рассмотрев жалобу ООО «Трансвуд», направленную решением Арбитражного суда Томской области по делу А67- 12510/2018 на новое рассмотрение, на действия аукционной комиссии при проведении совместного электронного аукциона «Поставка угля каменного для нужд МУП АГП «Энергия - Т2», МУП АГП «Энергия - Т1», МУП АГП «Энергия - ТЗ» (извещение №0865300002418000177) (далее - Аукцион), и проведя внеплановую проверку в соответствии с п.1 ч.15 ст.99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8"/>
        <w:widowControl w:val="0"/>
        <w:keepNext w:val="0"/>
        <w:keepLines w:val="0"/>
        <w:shd w:val="clear" w:color="auto" w:fill="auto"/>
        <w:bidi w:val="0"/>
        <w:jc w:val="left"/>
        <w:spacing w:before="0" w:after="0" w:line="317" w:lineRule="exact"/>
        <w:ind w:left="4360" w:right="0" w:firstLine="0"/>
      </w:pPr>
      <w:r>
        <w:rPr>
          <w:lang w:val="ru-RU" w:eastAsia="ru-RU" w:bidi="ru-RU"/>
          <w:w w:val="100"/>
          <w:spacing w:val="0"/>
          <w:color w:val="000000"/>
          <w:position w:val="0"/>
        </w:rPr>
        <w:t>УСТАНОВИЛА:</w:t>
      </w:r>
    </w:p>
    <w:p>
      <w:pPr>
        <w:pStyle w:val="Style8"/>
        <w:tabs>
          <w:tab w:leader="none" w:pos="3002" w:val="left"/>
        </w:tabs>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Арбитражный суд Томской области судебным решением по делу № А67- 12510/2018 обязал Томское УФАС России рассмотреть жалобу ООО «Трансвуд» на действия аукционной комиссии при проведении совместного электронного аукциона «Поставка угля каменного для нужд МУП АГП «Энергия - Т2», МУП АГП «Энергия -</w:t>
        <w:tab/>
        <w:t>Т1», МУП АГП «Энергия - ТЗ» (извещение</w:t>
      </w:r>
    </w:p>
    <w:p>
      <w:pPr>
        <w:pStyle w:val="Style8"/>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№0865300002418000177), нарушающие, по мнению Заявителя, положения Закона 44-ФЗ.</w:t>
      </w:r>
    </w:p>
    <w:p>
      <w:pPr>
        <w:pStyle w:val="Style8"/>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По мнению Заявителя, его права и законные интересы нарушены следующими неправомерными действиями:</w:t>
      </w:r>
    </w:p>
    <w:p>
      <w:pPr>
        <w:pStyle w:val="Style8"/>
        <w:numPr>
          <w:ilvl w:val="0"/>
          <w:numId w:val="1"/>
        </w:numPr>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 xml:space="preserve"> аукционная комиссия неправомерно признала заявку Общества не соответствующей требованиям документации Аукциона;</w:t>
      </w:r>
    </w:p>
    <w:p>
      <w:pPr>
        <w:pStyle w:val="Style8"/>
        <w:numPr>
          <w:ilvl w:val="0"/>
          <w:numId w:val="1"/>
        </w:numPr>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 xml:space="preserve"> Уполномоченное учреждение разместило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ЕИС) протокол подведения итогов электронного аукциона от</w:t>
      </w:r>
    </w:p>
    <w:p>
      <w:pPr>
        <w:pStyle w:val="Style8"/>
        <w:numPr>
          <w:ilvl w:val="0"/>
          <w:numId w:val="3"/>
        </w:numPr>
        <w:tabs>
          <w:tab w:leader="none" w:pos="1437" w:val="left"/>
        </w:tabs>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№0865300002418000177-3, согласно которому победителем Аукциона признано ООО «Трансвуд» и протокол подведения итогов электронного аукциона от 17.07.2018 №0865300002418000177-3-1, в котором заявка Общества признана не соответствующей требованиям документации Аукциона.</w:t>
      </w:r>
    </w:p>
    <w:p>
      <w:pPr>
        <w:pStyle w:val="Style8"/>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Уполномоченное учреждение и Заказчики в письменных возражениях на жалобу указали, что аукционная комиссия рассмотрела заявки в соответствии с требованиями законодательства о контрактной системе в сфере закупок и признала заявку ООО «Трансвуд» не соответствующей требованиям, поскольку Обществом в составе второй части заявки не приложено решение об одобрении крупной сделки.</w:t>
      </w:r>
    </w:p>
    <w:p>
      <w:pPr>
        <w:pStyle w:val="Style8"/>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В результате рассмотрения жалобы и осуществления в соответствии с п.1 ч.15 ст.99 Закона о контрактной системе внеплановой проверки Комиссия Томского УФАС России установила следующее.</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Извещение №0865300002418000177 о проведении Аукциона и документация об Аукционе размещены на Официальном сайте - 26.06.2018.</w:t>
      </w:r>
    </w:p>
    <w:p>
      <w:pPr>
        <w:pStyle w:val="Style8"/>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Начальная (максимальная) цена контракта составляет 20 001 200, 00 рублей.</w:t>
      </w:r>
    </w:p>
    <w:p>
      <w:pPr>
        <w:pStyle w:val="Style8"/>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На участие в аукционе подано 2 заявки от участников закупки.</w:t>
      </w:r>
    </w:p>
    <w:p>
      <w:pPr>
        <w:pStyle w:val="Style8"/>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Дата проведения аукциона - 16.07.2018.</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На момент рассмотрения жалобы по результатам проведения Аукциона №0865300002418000177 заключены муниципальные контракты №0.2018.363176 от 30.07.2018, №0.2018.363175 от 30.07.2018, №0.2018.363177 от 30.07.2018.</w:t>
      </w:r>
    </w:p>
    <w:p>
      <w:pPr>
        <w:pStyle w:val="Style8"/>
        <w:numPr>
          <w:ilvl w:val="0"/>
          <w:numId w:val="5"/>
        </w:numPr>
        <w:tabs>
          <w:tab w:leader="none" w:pos="929" w:val="left"/>
        </w:tabs>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В соответствии с ч.2 ст.66 Закона 44-03 заявка на участие в электронном аукционе состоит из двух частей.</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В силу п.4 ч.5 ст.66 Закона 44-03 вторая часть заявки на участие в электронном аукционе должна содержать, в том числе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Пунктом 3.2 документации Аукциона установлено, что вторая часть заявки на участие в настоящем аукционе должна содержать следующие документы и информацию:</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«5)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В соответствии с ч.1 ст.46 Федеральный закон от 08.02.1998 №14-ФЗ «Об обществах с ограниченной ответственностью» (далее - Закон об обществах с ограниченной ответственностью) крупной сделкой считается сделка (несколько взаимосвязанных сделок), выходящая за пределы обычной хозяйственной деятельности и при этом:</w:t>
      </w:r>
    </w:p>
    <w:p>
      <w:pPr>
        <w:pStyle w:val="Style8"/>
        <w:widowControl w:val="0"/>
        <w:keepNext w:val="0"/>
        <w:keepLines w:val="0"/>
        <w:shd w:val="clear" w:color="auto" w:fill="auto"/>
        <w:bidi w:val="0"/>
        <w:jc w:val="both"/>
        <w:spacing w:before="0" w:after="454" w:line="317" w:lineRule="exact"/>
        <w:ind w:left="40" w:right="40" w:firstLine="580"/>
      </w:pPr>
      <w:r>
        <w:rPr>
          <w:lang w:val="ru-RU" w:eastAsia="ru-RU" w:bidi="ru-RU"/>
          <w:w w:val="100"/>
          <w:spacing w:val="0"/>
          <w:color w:val="000000"/>
          <w:position w:val="0"/>
        </w:rPr>
        <w:t>связанная с приобретением, отчуждением или возможностью отчуждения обществом прямо либо косвенно имущества (в том числе, заем, кредит, залог, поручительство, приобретение такого количества акций (иных эмиссионных ценных бумаг, конвертируемых в акции) публичного общества, в результате которых у общества возникает обязанность направить обязательное предложение в соответствии с главой XI. 1 Федерального закона от 26.12.1995 №208-ФЗ «Об акционерных обществах»), цена или балансовая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pPr>
        <w:pStyle w:val="Style21"/>
        <w:widowControl w:val="0"/>
        <w:keepNext w:val="0"/>
        <w:keepLines w:val="0"/>
        <w:shd w:val="clear" w:color="auto" w:fill="auto"/>
        <w:bidi w:val="0"/>
        <w:spacing w:before="0" w:after="0" w:line="200" w:lineRule="exact"/>
        <w:ind w:left="0" w:right="40" w:firstLine="0"/>
      </w:pPr>
      <w:r>
        <w:rPr>
          <w:lang w:val="ru-RU" w:eastAsia="ru-RU" w:bidi="ru-RU"/>
          <w:w w:val="100"/>
          <w:spacing w:val="0"/>
          <w:color w:val="000000"/>
          <w:position w:val="0"/>
        </w:rPr>
        <w:t>з</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предусматривающая обязанность общества передать имущество во временное владение и (или)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 если их балансовая стоимость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pPr>
        <w:pStyle w:val="Style8"/>
        <w:tabs>
          <w:tab w:leader="none" w:pos="3841" w:val="lef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Как следует из ч.8</w:t>
        <w:tab/>
        <w:t>ст.46 Закона об обществах с ограниченной</w:t>
      </w:r>
    </w:p>
    <w:p>
      <w:pPr>
        <w:pStyle w:val="Style8"/>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ответственностью под сделками, не выходящими за пределы обычной хозяйственной деятельности, понимаются любые сделки, которые приняты в деятельности соответствующего общества либо иных хозяйствующих субъектов, осуществляющих аналогичные виды деятельности, независимо от того, совершались ли такие сделки таким обществом ранее, если такие сделки не приводят к прекращению деятельности общества или изменению ее вида либо существенному изменению ее масштабов.</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На основании изложенного следует, что непредставление участником закупки в составе заявки решения об одобрении или о совершении крупной сделки означает, что указанные действия для такого участника не являются крупной сделкой.</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Также нормы Закона о контрактной системе не обязывают участника электронного аукциона представлять документы, подтверждающие, что соответствующие сделки не являются для него крупными.</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В соответствии с ч.1 ст.69 Закона 44-ФЗ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ч.19 ст.68 настоящего Федерального закона, в части соответствия их требованиям, установленным документацией о таком аукционе.</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Частью 6 ст.69 Закона 44-ФЗ закреплены основания признания заявки на участие в электронном аукционе не соответствующей требованиям, установленным документацией о таком аукционе.</w:t>
      </w:r>
    </w:p>
    <w:p>
      <w:pPr>
        <w:pStyle w:val="Style8"/>
        <w:widowControl w:val="0"/>
        <w:keepNext w:val="0"/>
        <w:keepLines w:val="0"/>
        <w:shd w:val="clear" w:color="auto" w:fill="auto"/>
        <w:bidi w:val="0"/>
        <w:jc w:val="both"/>
        <w:spacing w:before="0" w:after="0" w:line="317" w:lineRule="exact"/>
        <w:ind w:left="40" w:right="40" w:firstLine="580"/>
      </w:pPr>
      <w:r>
        <w:rPr>
          <w:rStyle w:val="CharStyle23"/>
        </w:rPr>
        <w:t>Согласно</w:t>
      </w:r>
      <w:r>
        <w:rPr>
          <w:lang w:val="ru-RU" w:eastAsia="ru-RU" w:bidi="ru-RU"/>
          <w:w w:val="100"/>
          <w:spacing w:val="0"/>
          <w:color w:val="000000"/>
          <w:position w:val="0"/>
        </w:rPr>
        <w:t xml:space="preserve"> ч.7 ст.69 Закона 44-ФЗ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ч.б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п.5 ч.5 ст.66 настоящего Федерального закона, а также п.6 ч.5 ст.66 настоящего Федерального закона, за исключением случая закупки товаров, работ, услуг, в отношении которых установлен запрет, предусмотренный ст. 14 настоящего Федерального закона.</w:t>
      </w:r>
    </w:p>
    <w:p>
      <w:pPr>
        <w:pStyle w:val="Style8"/>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8"/>
        <w:numPr>
          <w:ilvl w:val="0"/>
          <w:numId w:val="7"/>
        </w:numPr>
        <w:tabs>
          <w:tab w:leader="none" w:pos="1466" w:val="left"/>
        </w:tabs>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№0865300002418000177-3-1 заявка с порядковым номером 2 (ООО «Трансвуд») признана не соответствующей требованиям, установленным документацией об Аукционе, со следующим обоснованием: «Непредставление документов и информации, которые предусмотрены пунктами 1, 3 - 5, 7 и 8 части 2 статьи 62, частями 3 и 5 статьи 66 Федерального закона №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 (Отклонен по п.1 ч.б ст.69 44-ФЗ) в соответствии с п.5, ч.3,2 документации в составе второй части заявки отсутствует решение об одобрении крупной сделки».</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Поскольку контракты, заключаемые по итогу проведения Аукциона, для ООО «Трансвуд» не являются крупной сделкой, Комиссия Томского УФАС России приходит к выводу, что аукционная комиссия не правомерно признала вторую часть заявки, порядковый номер которой 2, не соответствующей требованиям аукционной документации.</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Таким образом, Комиссия Томского УФАС России приходит к выводу, что вышеуказанные действия аукционной комиссии нарушают ч.7 ст.69 Закона о контрактной системе и содержат признаки состава административного правонарушения, предусмотренного ч.2 ст.7.30 Кодекса Российской Федерации об административных правонарушениях.</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Поскольку установлено, что заказчиками 30.07.2018 заключены муниципальные контракты с ООО «УГОЛЬ СНАБ», то с учетом данного обстоятельства Комиссия Томского УФАС России решила предписание об устранении нарушений в сфере закупок не выдавать.</w:t>
      </w:r>
    </w:p>
    <w:p>
      <w:pPr>
        <w:pStyle w:val="Style8"/>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2. В соответствии с ч.8 ст.69 Закона 44-ФЗ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ч.18 ст.6 8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8"/>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Согласно сведениям с Официального сайта Уполномоченным учреждением</w:t>
      </w:r>
    </w:p>
    <w:p>
      <w:pPr>
        <w:pStyle w:val="Style8"/>
        <w:numPr>
          <w:ilvl w:val="0"/>
          <w:numId w:val="9"/>
        </w:numPr>
        <w:tabs>
          <w:tab w:leader="none" w:pos="1390"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размещен на ЕИС протокол подведения итогов электронного аукциона</w:t>
      </w:r>
    </w:p>
    <w:p>
      <w:pPr>
        <w:pStyle w:val="Style8"/>
        <w:tabs>
          <w:tab w:leader="none" w:pos="2195" w:val="left"/>
        </w:tabs>
        <w:widowControl w:val="0"/>
        <w:keepNext w:val="0"/>
        <w:keepLines w:val="0"/>
        <w:shd w:val="clear" w:color="auto" w:fill="auto"/>
        <w:bidi w:val="0"/>
        <w:jc w:val="both"/>
        <w:spacing w:before="0" w:after="0" w:line="350" w:lineRule="exact"/>
        <w:ind w:left="40" w:right="0" w:firstLine="0"/>
      </w:pPr>
      <w:r>
        <w:rPr>
          <w:lang w:val="ru-RU" w:eastAsia="ru-RU" w:bidi="ru-RU"/>
          <w:w w:val="100"/>
          <w:spacing w:val="0"/>
          <w:color w:val="000000"/>
          <w:position w:val="0"/>
        </w:rPr>
        <w:t>от 16.07.2018</w:t>
        <w:tab/>
        <w:t>№0865300002418000177-3, согласно которому победителем</w:t>
      </w:r>
    </w:p>
    <w:p>
      <w:pPr>
        <w:pStyle w:val="Style8"/>
        <w:widowControl w:val="0"/>
        <w:keepNext w:val="0"/>
        <w:keepLines w:val="0"/>
        <w:shd w:val="clear" w:color="auto" w:fill="auto"/>
        <w:bidi w:val="0"/>
        <w:jc w:val="both"/>
        <w:spacing w:before="0" w:after="0" w:line="350" w:lineRule="exact"/>
        <w:ind w:left="40" w:right="0" w:firstLine="0"/>
      </w:pPr>
      <w:r>
        <w:rPr>
          <w:lang w:val="ru-RU" w:eastAsia="ru-RU" w:bidi="ru-RU"/>
          <w:w w:val="100"/>
          <w:spacing w:val="0"/>
          <w:color w:val="000000"/>
          <w:position w:val="0"/>
        </w:rPr>
        <w:t>Аукциона признано ООО «Трнасвуд».</w:t>
      </w:r>
    </w:p>
    <w:p>
      <w:pPr>
        <w:pStyle w:val="Style8"/>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17.07.2018 Уполномоченным учреждением размещен на ЕИС протокол подведения итогов электронного аукциона от 17.07.2018 №0865300002418000177- 3-1, согласно которому заявка с порядковым номером 2 (ООО «Трансвуд») признана не соответствующей требованиям, установленным документацией об Аукционе.</w:t>
      </w:r>
    </w:p>
    <w:p>
      <w:pPr>
        <w:pStyle w:val="Style8"/>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На заседании Комиссии Томского УФАС России представитель Уполномоченного учреждения не смог пояснить причины принятия и последующей отмены протокола подведения итогов электронного аукциона от</w:t>
      </w:r>
    </w:p>
    <w:p>
      <w:pPr>
        <w:pStyle w:val="Style8"/>
        <w:numPr>
          <w:ilvl w:val="0"/>
          <w:numId w:val="11"/>
        </w:numPr>
        <w:tabs>
          <w:tab w:leader="none" w:pos="1566" w:val="left"/>
        </w:tabs>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№0865300002418000177-3, сославшись на действия электронной площадки.</w:t>
      </w:r>
    </w:p>
    <w:p>
      <w:pPr>
        <w:pStyle w:val="Style8"/>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Комиссия Томского УФАС России не наделена полномочиями по проверки действий (бездействие) оператора электронной площадки в соответствии с п.3.9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w:t>
      </w:r>
    </w:p>
    <w:p>
      <w:pPr>
        <w:pStyle w:val="Style8"/>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Действия аукционной комиссии по признанию заявки с порядковым номером 2 (ООО «Трансвуд») не соответствующей требованиям документации Аукциона, признанные Комиссией Томского УФАС России неправомерными, при наличии протокола подведения итогов электронного аукциона от 16.07.2018 №0865300002418000177-3, согласно которому заявка ООО «Трансвуд» признана победителем Аукциона, свидетельствуют о предоставлении преимуществ иному участнику закупки, что указывает на нарушения Федерального закона от 26.07.2006 №135-Ф3 «О защите конкуренции».</w:t>
      </w:r>
    </w:p>
    <w:p>
      <w:pPr>
        <w:pStyle w:val="Style8"/>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У Комиссии Томского УФАС России по контролю в сфере закупок отсутствуют полномочия по проверке действий заказчика, уполномоченного учреждения на предмет нарушения антимонопольного законодательства, кроме того, сроки, порядок рассмотрения жалобы на нарушения антимонопольного законодательства регламентируются положениями вышеуказанного Закона и другими нормативными документами.</w:t>
      </w:r>
    </w:p>
    <w:p>
      <w:pPr>
        <w:pStyle w:val="Style8"/>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На основании установленного, руководствуясь ст.ст. 99, 106 Закона №44-ФЗ, Административным регламентом №727/14 от 19.11.2014, Законом 14-ФЗ, Комиссия Томского УФАС России,</w:t>
      </w:r>
    </w:p>
    <w:p>
      <w:pPr>
        <w:pStyle w:val="Style8"/>
        <w:widowControl w:val="0"/>
        <w:keepNext w:val="0"/>
        <w:keepLines w:val="0"/>
        <w:shd w:val="clear" w:color="auto" w:fill="auto"/>
        <w:bidi w:val="0"/>
        <w:spacing w:before="0" w:after="0" w:line="317" w:lineRule="exact"/>
        <w:ind w:left="0" w:right="0" w:firstLine="0"/>
      </w:pPr>
      <w:r>
        <w:rPr>
          <w:lang w:val="ru-RU" w:eastAsia="ru-RU" w:bidi="ru-RU"/>
          <w:w w:val="100"/>
          <w:spacing w:val="0"/>
          <w:color w:val="000000"/>
          <w:position w:val="0"/>
        </w:rPr>
        <w:t>РЕШИЛА:</w:t>
      </w:r>
    </w:p>
    <w:p>
      <w:pPr>
        <w:pStyle w:val="Style8"/>
        <w:numPr>
          <w:ilvl w:val="0"/>
          <w:numId w:val="13"/>
        </w:numPr>
        <w:widowControl w:val="0"/>
        <w:keepNext w:val="0"/>
        <w:keepLines w:val="0"/>
        <w:shd w:val="clear" w:color="auto" w:fill="auto"/>
        <w:bidi w:val="0"/>
        <w:jc w:val="both"/>
        <w:spacing w:before="0" w:after="0" w:line="317" w:lineRule="exact"/>
        <w:ind w:left="40" w:right="40" w:firstLine="560"/>
      </w:pPr>
      <w:r>
        <w:rPr>
          <w:lang w:val="ru-RU" w:eastAsia="ru-RU" w:bidi="ru-RU"/>
          <w:w w:val="100"/>
          <w:spacing w:val="0"/>
          <w:color w:val="000000"/>
          <w:position w:val="0"/>
        </w:rPr>
        <w:t xml:space="preserve"> Признать жалобу Общества с ограниченной ответственностью «Трансвуд» на действия аукционной комиссии при проведении электронного аукциона «Поставка угля каменного для нужд МУП АГП «Энергия - Т2», МУП АГП «Энергия - Т1», МУП АГП «Энергия - ТЗ» (извещение №0865300002418000177) обоснованной в части неправомерного признания заявки Общества не соответствующей требования документации об электронном аукционе.</w:t>
      </w:r>
    </w:p>
    <w:p>
      <w:pPr>
        <w:pStyle w:val="Style8"/>
        <w:numPr>
          <w:ilvl w:val="0"/>
          <w:numId w:val="13"/>
        </w:numPr>
        <w:widowControl w:val="0"/>
        <w:keepNext w:val="0"/>
        <w:keepLines w:val="0"/>
        <w:shd w:val="clear" w:color="auto" w:fill="auto"/>
        <w:bidi w:val="0"/>
        <w:jc w:val="both"/>
        <w:spacing w:before="0" w:after="0" w:line="317" w:lineRule="exact"/>
        <w:ind w:left="40" w:right="0" w:firstLine="560"/>
      </w:pPr>
      <w:r>
        <w:rPr>
          <w:lang w:val="ru-RU" w:eastAsia="ru-RU" w:bidi="ru-RU"/>
          <w:w w:val="100"/>
          <w:spacing w:val="0"/>
          <w:color w:val="000000"/>
          <w:position w:val="0"/>
        </w:rPr>
        <w:t xml:space="preserve"> Признать в действиях аукционной комиссии нарушение ч.7 ст.69 Закона 44-</w:t>
      </w:r>
    </w:p>
    <w:p>
      <w:pPr>
        <w:pStyle w:val="Style8"/>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ФЗ.</w:t>
      </w:r>
      <w:r>
        <w:br w:type="page"/>
      </w:r>
    </w:p>
    <w:p>
      <w:pPr>
        <w:pStyle w:val="Style8"/>
        <w:numPr>
          <w:ilvl w:val="0"/>
          <w:numId w:val="13"/>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В связи с тем, что по результатам проведения электронного аукциона (извещение №0865300002418000177) заказчиками от 30.07.2018 заключены муниципальные контракты, предписание об устранении нарушений не выдавать.</w:t>
      </w:r>
    </w:p>
    <w:p>
      <w:pPr>
        <w:pStyle w:val="Style8"/>
        <w:numPr>
          <w:ilvl w:val="0"/>
          <w:numId w:val="13"/>
        </w:numPr>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Передать материалы настоящего дела уполномоченному должностному лицу для привлечения лиц, виновных в нарушении Закона 44-ФЗ, к ад мини стр ативн ой отв етств енно сти.</w:t>
      </w:r>
    </w:p>
    <w:p>
      <w:pPr>
        <w:pStyle w:val="Style8"/>
        <w:numPr>
          <w:ilvl w:val="0"/>
          <w:numId w:val="13"/>
        </w:numPr>
        <w:tabs>
          <w:tab w:leader="none" w:pos="6270" w:val="left"/>
        </w:tabs>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 Передать материалы настоящего дела для рассмотрения вопроса о наличии признаков нарушения антимонопольного законодательства в отдел контроля монополистической деятельности Томского</w:t>
        <w:tab/>
        <w:t>™</w:t>
      </w:r>
    </w:p>
    <w:p>
      <w:pPr>
        <w:pStyle w:val="Style8"/>
        <w:tabs>
          <w:tab w:leader="none" w:pos="8588" w:val="right"/>
          <w:tab w:leader="none" w:pos="9274" w:val="right"/>
          <w:tab w:leader="none" w:pos="9562" w:val="righ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Настоящее решение может быть обжаловс</w:t>
        <w:tab/>
        <w:t>кном</w:t>
        <w:tab/>
        <w:t>суде</w:t>
        <w:tab/>
        <w:t>в</w:t>
      </w:r>
    </w:p>
    <w:p>
      <w:pPr>
        <w:pStyle w:val="Style8"/>
        <w:widowControl w:val="0"/>
        <w:keepNext w:val="0"/>
        <w:keepLines w:val="0"/>
        <w:shd w:val="clear" w:color="auto" w:fill="auto"/>
        <w:bidi w:val="0"/>
        <w:jc w:val="both"/>
        <w:spacing w:before="0" w:after="649" w:line="322" w:lineRule="exact"/>
        <w:ind w:left="20" w:right="0" w:firstLine="0"/>
      </w:pPr>
      <w:r>
        <w:rPr>
          <w:lang w:val="ru-RU" w:eastAsia="ru-RU" w:bidi="ru-RU"/>
          <w:w w:val="100"/>
          <w:spacing w:val="0"/>
          <w:color w:val="000000"/>
          <w:position w:val="0"/>
        </w:rPr>
        <w:t>течение трех месяцев в установленном законом п</w:t>
      </w:r>
    </w:p>
    <w:p>
      <w:pPr>
        <w:pStyle w:val="Style8"/>
        <w:framePr w:w="2523" w:h="926" w:wrap="around" w:vAnchor="text" w:hAnchor="margin" w:x="7149" w:y="625"/>
        <w:widowControl w:val="0"/>
        <w:keepNext w:val="0"/>
        <w:keepLines w:val="0"/>
        <w:shd w:val="clear" w:color="auto" w:fill="auto"/>
        <w:bidi w:val="0"/>
        <w:jc w:val="left"/>
        <w:spacing w:before="0" w:after="379" w:line="240" w:lineRule="exact"/>
        <w:ind w:left="120" w:right="0" w:firstLine="0"/>
      </w:pPr>
      <w:r>
        <w:rPr>
          <w:rStyle w:val="CharStyle18"/>
          <w:spacing w:val="0"/>
        </w:rPr>
        <w:t>/С</w:t>
      </w:r>
      <w:r>
        <w:rPr>
          <w:rStyle w:val="CharStyle18"/>
          <w:lang w:val="en-US" w:eastAsia="en-US" w:bidi="en-US"/>
          <w:spacing w:val="0"/>
        </w:rPr>
        <w:t>s</w:t>
      </w:r>
      <w:r>
        <w:rPr>
          <w:rStyle w:val="CharStyle17"/>
          <w:lang w:val="en-US" w:eastAsia="en-US" w:bidi="en-US"/>
          <w:spacing w:val="0"/>
        </w:rPr>
        <w:t xml:space="preserve"> </w:t>
      </w:r>
      <w:r>
        <w:rPr>
          <w:rStyle w:val="CharStyle17"/>
          <w:spacing w:val="0"/>
        </w:rPr>
        <w:t>\МосевВ.Г.</w:t>
      </w:r>
    </w:p>
    <w:p>
      <w:pPr>
        <w:pStyle w:val="Style8"/>
        <w:framePr w:w="2523" w:h="926" w:wrap="around" w:vAnchor="text" w:hAnchor="margin" w:x="7149" w:y="625"/>
        <w:widowControl w:val="0"/>
        <w:keepNext w:val="0"/>
        <w:keepLines w:val="0"/>
        <w:shd w:val="clear" w:color="auto" w:fill="auto"/>
        <w:bidi w:val="0"/>
        <w:jc w:val="left"/>
        <w:spacing w:before="0" w:after="0" w:line="240" w:lineRule="exact"/>
        <w:ind w:left="120" w:right="0" w:firstLine="0"/>
      </w:pPr>
      <w:r>
        <w:rPr>
          <w:rStyle w:val="CharStyle17"/>
          <w:lang w:val="en-US" w:eastAsia="en-US" w:bidi="en-US"/>
          <w:spacing w:val="0"/>
        </w:rPr>
        <w:t xml:space="preserve">J </w:t>
      </w:r>
      <w:r>
        <w:rPr>
          <w:rStyle w:val="CharStyle17"/>
          <w:spacing w:val="0"/>
        </w:rPr>
        <w:t>) Якушкин К.П.</w:t>
      </w:r>
    </w:p>
    <w:p>
      <w:pPr>
        <w:pStyle w:val="Style8"/>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Председатель комиссии</w:t>
      </w:r>
    </w:p>
    <w:p>
      <w:pPr>
        <w:pStyle w:val="Style8"/>
        <w:framePr w:w="2782" w:h="1296" w:wrap="notBeside" w:vAnchor="text" w:hAnchor="margin" w:x="6823" w:y="961"/>
        <w:widowControl w:val="0"/>
        <w:keepNext w:val="0"/>
        <w:keepLines w:val="0"/>
        <w:shd w:val="clear" w:color="auto" w:fill="auto"/>
        <w:bidi w:val="0"/>
        <w:jc w:val="right"/>
        <w:spacing w:before="0" w:after="0" w:line="648" w:lineRule="exact"/>
        <w:ind w:left="100" w:right="160" w:firstLine="0"/>
      </w:pPr>
      <w:r>
        <w:rPr>
          <w:rStyle w:val="CharStyle19"/>
          <w:spacing w:val="0"/>
        </w:rPr>
        <w:t xml:space="preserve">&gt; / \ Засухова Э.Д. </w:t>
      </w:r>
      <w:r>
        <w:rPr>
          <w:rStyle w:val="CharStyle20"/>
          <w:spacing w:val="0"/>
        </w:rPr>
        <w:t>ОМ</w:t>
      </w:r>
      <w:r>
        <w:rPr>
          <w:rStyle w:val="CharStyle19"/>
          <w:spacing w:val="0"/>
        </w:rPr>
        <w:t xml:space="preserve"> </w:t>
      </w:r>
      <w:r>
        <w:rPr>
          <w:rStyle w:val="CharStyle17"/>
          <w:spacing w:val="0"/>
        </w:rPr>
        <w:t>Стасюк М.В.</w:t>
      </w:r>
    </w:p>
    <w:p>
      <w:pPr>
        <w:pStyle w:val="Style8"/>
        <w:widowControl w:val="0"/>
        <w:keepNext w:val="0"/>
        <w:keepLines w:val="0"/>
        <w:shd w:val="clear" w:color="auto" w:fill="auto"/>
        <w:bidi w:val="0"/>
        <w:jc w:val="both"/>
        <w:spacing w:before="0" w:after="908" w:line="260" w:lineRule="exact"/>
        <w:ind w:left="20" w:right="0" w:firstLine="0"/>
      </w:pPr>
      <w:r>
        <w:rPr>
          <w:lang w:val="ru-RU" w:eastAsia="ru-RU" w:bidi="ru-RU"/>
          <w:w w:val="100"/>
          <w:spacing w:val="0"/>
          <w:color w:val="000000"/>
          <w:position w:val="0"/>
        </w:rPr>
        <w:t>члены Комиссии</w:t>
      </w:r>
    </w:p>
    <w:sectPr>
      <w:type w:val="continuous"/>
      <w:pgSz w:w="11906" w:h="16838"/>
      <w:pgMar w:top="635" w:left="754" w:right="754" w:bottom="563" w:header="0" w:footer="3" w:gutter="197"/>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8"/>
      <w:numFmt w:val="decimal"/>
      <w:lvlText w:val="16.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8"/>
      <w:numFmt w:val="decimal"/>
      <w:lvlText w:val="17.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8"/>
      <w:numFmt w:val="decimal"/>
      <w:lvlText w:val="16.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8"/>
      <w:numFmt w:val="decimal"/>
      <w:lvlText w:val="16.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4"/>
    </w:rPr>
  </w:style>
  <w:style w:type="character" w:customStyle="1" w:styleId="CharStyle5">
    <w:name w:val="Основной текст (2) Exact"/>
    <w:basedOn w:val="CharStyle6"/>
    <w:rPr>
      <w:sz w:val="19"/>
      <w:szCs w:val="19"/>
      <w:spacing w:val="4"/>
    </w:rPr>
  </w:style>
  <w:style w:type="character" w:customStyle="1" w:styleId="CharStyle6">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w:basedOn w:val="CharStyle9"/>
    <w:rPr>
      <w:lang w:val="ru-RU" w:eastAsia="ru-RU" w:bidi="ru-RU"/>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4">
    <w:name w:val="Основной текст (3)"/>
    <w:basedOn w:val="CharStyle12"/>
    <w:rPr>
      <w:lang w:val="en-US" w:eastAsia="en-US" w:bidi="en-US"/>
      <w:u w:val="single"/>
      <w:w w:val="100"/>
      <w:spacing w:val="0"/>
      <w:color w:val="000000"/>
      <w:position w:val="0"/>
    </w:rPr>
  </w:style>
  <w:style w:type="character" w:customStyle="1" w:styleId="CharStyle15">
    <w:name w:val="Основной текст (3)"/>
    <w:basedOn w:val="CharStyle12"/>
    <w:rPr>
      <w:lang w:val="ru-RU" w:eastAsia="ru-RU" w:bidi="ru-RU"/>
      <w:w w:val="100"/>
      <w:spacing w:val="0"/>
      <w:color w:val="000000"/>
      <w:position w:val="0"/>
    </w:rPr>
  </w:style>
  <w:style w:type="character" w:customStyle="1" w:styleId="CharStyle16">
    <w:name w:val="Основной текст (2)"/>
    <w:basedOn w:val="CharStyle6"/>
    <w:rPr>
      <w:lang w:val="en-US" w:eastAsia="en-US" w:bidi="en-US"/>
      <w:w w:val="100"/>
      <w:spacing w:val="0"/>
      <w:color w:val="000000"/>
      <w:position w:val="0"/>
    </w:rPr>
  </w:style>
  <w:style w:type="character" w:customStyle="1" w:styleId="CharStyle17">
    <w:name w:val="Основной текст Exact"/>
    <w:basedOn w:val="DefaultParagraphFont"/>
    <w:rPr>
      <w:b w:val="0"/>
      <w:bCs w:val="0"/>
      <w:i w:val="0"/>
      <w:iCs w:val="0"/>
      <w:u w:val="none"/>
      <w:strike w:val="0"/>
      <w:smallCaps w:val="0"/>
      <w:rFonts w:ascii="Times New Roman" w:eastAsia="Times New Roman" w:hAnsi="Times New Roman" w:cs="Times New Roman"/>
      <w:spacing w:val="4"/>
    </w:rPr>
  </w:style>
  <w:style w:type="character" w:customStyle="1" w:styleId="CharStyle18">
    <w:name w:val="Основной текст + Курсив,Интервал 0 pt Exact"/>
    <w:basedOn w:val="CharStyle9"/>
    <w:rPr>
      <w:lang w:val="ru-RU" w:eastAsia="ru-RU" w:bidi="ru-RU"/>
      <w:i/>
      <w:iCs/>
      <w:sz w:val="24"/>
      <w:szCs w:val="24"/>
      <w:w w:val="100"/>
      <w:spacing w:val="8"/>
      <w:color w:val="000000"/>
      <w:position w:val="0"/>
    </w:rPr>
  </w:style>
  <w:style w:type="character" w:customStyle="1" w:styleId="CharStyle19">
    <w:name w:val="Основной текст Exact"/>
    <w:basedOn w:val="CharStyle9"/>
    <w:rPr>
      <w:lang w:val="ru-RU" w:eastAsia="ru-RU" w:bidi="ru-RU"/>
      <w:sz w:val="24"/>
      <w:szCs w:val="24"/>
      <w:w w:val="100"/>
      <w:spacing w:val="4"/>
      <w:color w:val="000000"/>
      <w:position w:val="0"/>
    </w:rPr>
  </w:style>
  <w:style w:type="character" w:customStyle="1" w:styleId="CharStyle20">
    <w:name w:val="Основной текст + Курсив,Интервал 0 pt Exact"/>
    <w:basedOn w:val="CharStyle9"/>
    <w:rPr>
      <w:lang w:val="ru-RU" w:eastAsia="ru-RU" w:bidi="ru-RU"/>
      <w:i/>
      <w:iCs/>
      <w:sz w:val="24"/>
      <w:szCs w:val="24"/>
      <w:w w:val="100"/>
      <w:spacing w:val="8"/>
      <w:color w:val="000000"/>
      <w:position w:val="0"/>
    </w:rPr>
  </w:style>
  <w:style w:type="character" w:customStyle="1" w:styleId="CharStyle22">
    <w:name w:val="Основной текст (4)_"/>
    <w:basedOn w:val="DefaultParagraphFont"/>
    <w:link w:val="Style21"/>
    <w:rPr>
      <w:b w:val="0"/>
      <w:bCs w:val="0"/>
      <w:i w:val="0"/>
      <w:iCs w:val="0"/>
      <w:u w:val="none"/>
      <w:strike w:val="0"/>
      <w:smallCaps w:val="0"/>
      <w:sz w:val="20"/>
      <w:szCs w:val="20"/>
      <w:rFonts w:ascii="Impact" w:eastAsia="Impact" w:hAnsi="Impact" w:cs="Impact"/>
    </w:rPr>
  </w:style>
  <w:style w:type="character" w:customStyle="1" w:styleId="CharStyle23">
    <w:name w:val="Основной текст + Курсив"/>
    <w:basedOn w:val="CharStyle9"/>
    <w:rPr>
      <w:lang w:val="ru-RU" w:eastAsia="ru-RU" w:bidi="ru-RU"/>
      <w:i/>
      <w:iCs/>
      <w:w w:val="100"/>
      <w:spacing w:val="0"/>
      <w:color w:val="000000"/>
      <w:position w:val="0"/>
    </w:rPr>
  </w:style>
  <w:style w:type="paragraph" w:customStyle="1" w:styleId="Style3">
    <w:name w:val="Основной текст (2)"/>
    <w:basedOn w:val="Normal"/>
    <w:link w:val="CharStyle6"/>
    <w:pPr>
      <w:widowControl w:val="0"/>
      <w:shd w:val="clear" w:color="auto" w:fill="FFFFFF"/>
      <w:jc w:val="center"/>
      <w:spacing w:before="180" w:after="60" w:line="24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center"/>
      <w:spacing w:before="60" w:after="60" w:line="27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60" w:after="660" w:line="22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21">
    <w:name w:val="Основной текст (4)"/>
    <w:basedOn w:val="Normal"/>
    <w:link w:val="CharStyle22"/>
    <w:pPr>
      <w:widowControl w:val="0"/>
      <w:shd w:val="clear" w:color="auto" w:fill="FFFFFF"/>
      <w:jc w:val="right"/>
      <w:spacing w:before="360" w:line="0" w:lineRule="exact"/>
    </w:pPr>
    <w:rPr>
      <w:b w:val="0"/>
      <w:bCs w:val="0"/>
      <w:i w:val="0"/>
      <w:iCs w:val="0"/>
      <w:u w:val="none"/>
      <w:strike w:val="0"/>
      <w:smallCaps w:val="0"/>
      <w:sz w:val="20"/>
      <w:szCs w:val="20"/>
      <w:rFonts w:ascii="Impact" w:eastAsia="Impact" w:hAnsi="Impact" w:cs="Impac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