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2" w:after="215"/>
        <w:ind w:left="0" w:right="0" w:firstLine="0"/>
      </w:pPr>
      <w:r>
        <w:rPr>
          <w:lang w:val="ru-RU" w:eastAsia="ru-RU" w:bidi="ru-RU"/>
          <w:w w:val="100"/>
          <w:spacing w:val="0"/>
          <w:color w:val="000000"/>
          <w:position w:val="0"/>
        </w:rPr>
        <w:t xml:space="preserve">ФЕДЕРАЛЬНАЯ АНТИМОНОПОЛЬНАЯ СЛУЖБА </w:t>
      </w:r>
      <w:r>
        <w:rPr>
          <w:rStyle w:val="CharStyle5"/>
          <w:b/>
          <w:bCs/>
        </w:rPr>
        <w:t xml:space="preserve">УПРАВЛЕНИЕ </w:t>
      </w:r>
      <w:r>
        <w:rPr>
          <w:lang w:val="ru-RU" w:eastAsia="ru-RU" w:bidi="ru-RU"/>
          <w:w w:val="100"/>
          <w:spacing w:val="0"/>
          <w:color w:val="000000"/>
          <w:position w:val="0"/>
        </w:rPr>
        <w:t xml:space="preserve">Федеральной антимонопольной службы по Ханты-Мансийскому автономному округу - Югре </w:t>
      </w:r>
      <w:r>
        <w:rPr>
          <w:rStyle w:val="CharStyle6"/>
          <w:b w:val="0"/>
          <w:bCs w:val="0"/>
        </w:rPr>
        <w:t xml:space="preserve">ул. Мира, 27, г. Ханты-Мансийск, 628002 тел. (3467) 38-80-81 </w:t>
      </w:r>
      <w:r>
        <w:rPr>
          <w:rStyle w:val="CharStyle6"/>
          <w:lang w:val="en-US" w:eastAsia="en-US" w:bidi="en-US"/>
          <w:b w:val="0"/>
          <w:bCs w:val="0"/>
        </w:rPr>
        <w:t xml:space="preserve">e-mail: </w:t>
      </w:r>
      <w:r>
        <w:fldChar w:fldCharType="begin"/>
      </w:r>
      <w:r>
        <w:rPr>
          <w:rStyle w:val="CharStyle7"/>
        </w:rPr>
        <w:instrText> HYPERLINK "mailto:to86@fas.gov.ru" </w:instrText>
      </w:r>
      <w:r>
        <w:fldChar w:fldCharType="separate"/>
      </w:r>
      <w:r>
        <w:rPr>
          <w:rStyle w:val="Hyperlink"/>
          <w:b w:val="0"/>
          <w:bCs w:val="0"/>
        </w:rPr>
        <w:t>to86@fas.gov.ru</w:t>
      </w:r>
      <w:r>
        <w:fldChar w:fldCharType="end"/>
      </w:r>
    </w:p>
    <w:p>
      <w:pPr>
        <w:pStyle w:val="Style8"/>
        <w:widowControl w:val="0"/>
        <w:keepNext w:val="0"/>
        <w:keepLines w:val="0"/>
        <w:shd w:val="clear" w:color="auto" w:fill="auto"/>
        <w:bidi w:val="0"/>
        <w:jc w:val="left"/>
        <w:spacing w:before="0" w:after="0" w:line="220" w:lineRule="exact"/>
        <w:ind w:left="600" w:right="0" w:firstLine="0"/>
      </w:pPr>
      <w:r>
        <w:rPr>
          <w:rStyle w:val="CharStyle10"/>
        </w:rPr>
        <w:t>ffl</w:t>
      </w:r>
      <w:r>
        <w:rPr>
          <w:rStyle w:val="CharStyle10"/>
          <w:lang w:val="ru-RU" w:eastAsia="ru-RU" w:bidi="ru-RU"/>
        </w:rPr>
        <w:t>.</w:t>
      </w:r>
      <w:r>
        <w:rPr>
          <w:lang w:val="ru-RU" w:eastAsia="ru-RU" w:bidi="ru-RU"/>
          <w:w w:val="100"/>
          <w:spacing w:val="0"/>
          <w:color w:val="000000"/>
          <w:position w:val="0"/>
        </w:rPr>
        <w:t xml:space="preserve"> </w:t>
      </w:r>
      <w:r>
        <w:rPr>
          <w:lang w:val="en-US" w:eastAsia="en-US" w:bidi="en-US"/>
          <w:w w:val="100"/>
          <w:spacing w:val="0"/>
          <w:color w:val="000000"/>
          <w:position w:val="0"/>
        </w:rPr>
        <w:t xml:space="preserve">.2019 № </w:t>
      </w:r>
      <w:r>
        <w:rPr>
          <w:lang w:val="ru-RU" w:eastAsia="ru-RU" w:bidi="ru-RU"/>
          <w:w w:val="100"/>
          <w:spacing w:val="0"/>
          <w:color w:val="000000"/>
          <w:position w:val="0"/>
        </w:rPr>
        <w:t>03/КА-</w:t>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ЗАО "Сбербанк</w:t>
      </w:r>
      <w:r>
        <w:rPr>
          <w:lang w:val="en-US" w:eastAsia="en-US" w:bidi="en-US"/>
          <w:w w:val="100"/>
          <w:spacing w:val="0"/>
          <w:color w:val="000000"/>
          <w:position w:val="0"/>
        </w:rPr>
        <w:t>-ACT"</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119435, г. Москва, Большой Саввинский переулок, д. 12, стр.9</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(495) 7872999/97 доб. 369, Факс: (495) 7872998</w:t>
      </w:r>
    </w:p>
    <w:p>
      <w:pPr>
        <w:pStyle w:val="Style8"/>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1"/>
        </w:rPr>
        <w:t>Заявитель:</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«МОНОЛИТСТРОЙМОНТАЖ»</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195027, г. Санкт-Петербург, пр. Металлистов, 7,</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лит. А, оф. 414</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 +7 (911) 119 1403</w:t>
      </w:r>
    </w:p>
    <w:p>
      <w:pPr>
        <w:pStyle w:val="Style8"/>
        <w:widowControl w:val="0"/>
        <w:keepNext w:val="0"/>
        <w:keepLines w:val="0"/>
        <w:shd w:val="clear" w:color="auto" w:fill="auto"/>
        <w:bidi w:val="0"/>
        <w:jc w:val="left"/>
        <w:spacing w:before="0" w:after="0" w:line="274"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"mailto:ms-montazh@inbox.ru" </w:instrText>
      </w:r>
      <w:r>
        <w:fldChar w:fldCharType="separate"/>
      </w:r>
      <w:r>
        <w:rPr>
          <w:rStyle w:val="Hyperlink"/>
          <w:lang w:val="en-US" w:eastAsia="en-US" w:bidi="en-US"/>
          <w:w w:val="100"/>
          <w:spacing w:val="0"/>
          <w:position w:val="0"/>
        </w:rPr>
        <w:t>ms-montazh@inbox.ru</w:t>
      </w:r>
      <w:r>
        <w:fldChar w:fldCharType="end"/>
      </w:r>
    </w:p>
    <w:p>
      <w:pPr>
        <w:pStyle w:val="Style3"/>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КУ "Управление капитального строительства" 628011, Ханты-Мансийский Автономный округ</w:t>
      </w:r>
    </w:p>
    <w:p>
      <w:pPr>
        <w:pStyle w:val="Style8"/>
        <w:numPr>
          <w:ilvl w:val="0"/>
          <w:numId w:val="1"/>
        </w:numPr>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 Югра Автономный, г. Ханты-Мансийск, ул. Мира, 18</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тел: 83467333633 </w:t>
      </w:r>
      <w:r>
        <w:rPr>
          <w:rStyle w:val="CharStyle12"/>
        </w:rPr>
        <w:t>e-mail</w:t>
      </w:r>
      <w:r>
        <w:rPr>
          <w:lang w:val="en-US" w:eastAsia="en-US" w:bidi="en-US"/>
          <w:w w:val="100"/>
          <w:spacing w:val="0"/>
          <w:color w:val="000000"/>
          <w:position w:val="0"/>
        </w:rPr>
        <w:t xml:space="preserve">: </w:t>
      </w:r>
      <w:r>
        <w:fldChar w:fldCharType="begin"/>
      </w:r>
      <w:r>
        <w:rPr>
          <w:rStyle w:val="CharStyle12"/>
        </w:rPr>
        <w:instrText> HYPERLINK "mailto:priem@ukshmao.ru" </w:instrText>
      </w:r>
      <w:r>
        <w:fldChar w:fldCharType="separate"/>
      </w:r>
      <w:r>
        <w:rPr>
          <w:rStyle w:val="Hyperlink"/>
        </w:rPr>
        <w:t>priem@ukshmao</w:t>
      </w:r>
      <w:r>
        <w:rPr>
          <w:rStyle w:val="Hyperlink"/>
          <w:lang w:val="ru-RU" w:eastAsia="ru-RU" w:bidi="ru-RU"/>
        </w:rPr>
        <w:t>.</w:t>
      </w:r>
      <w:r>
        <w:rPr>
          <w:rStyle w:val="Hyperlink"/>
        </w:rPr>
        <w:t>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jc w:val="left"/>
        <w:spacing w:before="0" w:after="0" w:line="274" w:lineRule="exact"/>
        <w:ind w:left="20" w:right="0" w:firstLine="0"/>
      </w:pPr>
      <w:r>
        <w:fldChar w:fldCharType="begin"/>
      </w:r>
      <w:r>
        <w:rPr>
          <w:rStyle w:val="CharStyle12"/>
        </w:rPr>
        <w:instrText> HYPERLINK "mailto:MozerIA@ukslimao.ru" </w:instrText>
      </w:r>
      <w:r>
        <w:fldChar w:fldCharType="separate"/>
      </w:r>
      <w:r>
        <w:rPr>
          <w:rStyle w:val="Hyperlink"/>
        </w:rPr>
        <w:t>MozerIA@ukslimao.ru</w:t>
      </w:r>
      <w:r>
        <w:fldChar w:fldCharType="end"/>
      </w:r>
      <w:r>
        <w:rPr>
          <w:lang w:val="en-US" w:eastAsia="en-US" w:bidi="en-US"/>
          <w:w w:val="100"/>
          <w:spacing w:val="0"/>
          <w:color w:val="000000"/>
          <w:position w:val="0"/>
        </w:rPr>
        <w:t xml:space="preserve">. </w:t>
      </w:r>
      <w:r>
        <w:fldChar w:fldCharType="begin"/>
      </w:r>
      <w:r>
        <w:rPr>
          <w:color w:val="000000"/>
        </w:rPr>
        <w:instrText> HYPERLINK "mailto:PostnikovAA@ukshmao.ru" </w:instrText>
      </w:r>
      <w:r>
        <w:fldChar w:fldCharType="separate"/>
      </w:r>
      <w:r>
        <w:rPr>
          <w:rStyle w:val="Hyperlink"/>
          <w:lang w:val="en-US" w:eastAsia="en-US" w:bidi="en-US"/>
          <w:w w:val="100"/>
          <w:spacing w:val="0"/>
          <w:position w:val="0"/>
        </w:rPr>
        <w:t>PostnikovAA@ukshmao.ru</w:t>
      </w:r>
      <w:r>
        <w:fldChar w:fldCharType="end"/>
      </w:r>
      <w:r>
        <w:rPr>
          <w:lang w:val="en-US" w:eastAsia="en-US" w:bidi="en-US"/>
          <w:w w:val="100"/>
          <w:spacing w:val="0"/>
          <w:color w:val="000000"/>
          <w:position w:val="0"/>
        </w:rPr>
        <w:t xml:space="preserve"> </w:t>
      </w:r>
      <w:r>
        <w:rPr>
          <w:rStyle w:val="CharStyle11"/>
        </w:rPr>
        <w:t>Уполномоченный орган:</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Департамент государственного заказа Ханты- Мансийского автономного округа-Югры 628011, Ханты-Мансийский Автономный округ</w:t>
      </w:r>
    </w:p>
    <w:p>
      <w:pPr>
        <w:pStyle w:val="Style8"/>
        <w:numPr>
          <w:ilvl w:val="0"/>
          <w:numId w:val="1"/>
        </w:numPr>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 Югра Автономный, г. Ханты-Мансийск, ул. Мира, 14А</w:t>
      </w:r>
    </w:p>
    <w:p>
      <w:pPr>
        <w:pStyle w:val="Style8"/>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 xml:space="preserve">тел: 83467388538 </w:t>
      </w:r>
      <w:r>
        <w:rPr>
          <w:lang w:val="en-US" w:eastAsia="en-US" w:bidi="en-US"/>
          <w:w w:val="100"/>
          <w:spacing w:val="0"/>
          <w:color w:val="000000"/>
          <w:position w:val="0"/>
        </w:rPr>
        <w:t>e-mail</w:t>
      </w:r>
      <w:r>
        <w:rPr>
          <w:lang w:val="ru-RU" w:eastAsia="ru-RU" w:bidi="ru-RU"/>
          <w:w w:val="100"/>
          <w:spacing w:val="0"/>
          <w:color w:val="000000"/>
          <w:position w:val="0"/>
        </w:rPr>
        <w:t xml:space="preserve">: </w:t>
      </w:r>
      <w:r>
        <w:fldChar w:fldCharType="begin"/>
      </w:r>
      <w:r>
        <w:rPr>
          <w:rStyle w:val="CharStyle12"/>
        </w:rPr>
        <w:instrText> HYPERLINK "mailto:dgz@admhmao.ru" </w:instrText>
      </w:r>
      <w:r>
        <w:fldChar w:fldCharType="separate"/>
      </w:r>
      <w:r>
        <w:rPr>
          <w:rStyle w:val="Hyperlink"/>
        </w:rPr>
        <w:t>dgz@admhmao.ru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1175" w:left="1379" w:right="822" w:bottom="1180" w:header="0" w:footer="3" w:gutter="0"/>
          <w:rtlGutter w:val="0"/>
          <w:cols w:num="2" w:space="720" w:equalWidth="0">
            <w:col w:w="3898" w:space="605"/>
            <w:col w:w="5203"/>
          </w:cols>
          <w:noEndnote/>
          <w:docGrid w:linePitch="360"/>
        </w:sectPr>
      </w:pPr>
      <w:r>
        <w:fldChar w:fldCharType="begin"/>
      </w:r>
      <w:r>
        <w:rPr>
          <w:color w:val="000000"/>
        </w:rPr>
        <w:instrText> HYPERLINK "mailto:KlimovaTA@admhmao.ru" </w:instrText>
      </w:r>
      <w:r>
        <w:fldChar w:fldCharType="separate"/>
      </w:r>
      <w:r>
        <w:rPr>
          <w:rStyle w:val="Hyperlink"/>
          <w:lang w:val="en-US" w:eastAsia="en-US" w:bidi="en-US"/>
          <w:w w:val="100"/>
          <w:spacing w:val="0"/>
          <w:position w:val="0"/>
        </w:rPr>
        <w:t>KlimovaTA@admhmao.ru</w:t>
      </w:r>
      <w:r>
        <w:fldChar w:fldCharType="end"/>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30" w:lineRule="exact"/>
        <w:ind w:left="0" w:right="0" w:firstLine="0"/>
        <w:sectPr>
          <w:type w:val="continuous"/>
          <w:pgSz w:w="11906" w:h="16838"/>
          <w:pgMar w:top="1175" w:left="5324" w:right="5060" w:bottom="1180" w:header="0" w:footer="3" w:gutter="0"/>
          <w:rtlGutter w:val="0"/>
          <w:cols w:space="720"/>
          <w:noEndnote/>
          <w:docGrid w:linePitch="360"/>
        </w:sectPr>
      </w:pPr>
      <w:r>
        <w:rPr>
          <w:lang w:val="ru-RU" w:eastAsia="ru-RU" w:bidi="ru-RU"/>
          <w:w w:val="100"/>
          <w:spacing w:val="0"/>
          <w:color w:val="000000"/>
          <w:position w:val="0"/>
        </w:rPr>
        <w:t>РЕШЕНИЕ</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13" w:wrap="around" w:vAnchor="text" w:hAnchor="margin" w:x="7617" w:y="11"/>
        <w:widowControl w:val="0"/>
        <w:keepNext w:val="0"/>
        <w:keepLines w:val="0"/>
        <w:shd w:val="clear" w:color="auto" w:fill="auto"/>
        <w:bidi w:val="0"/>
        <w:jc w:val="left"/>
        <w:spacing w:before="0" w:after="0" w:line="200" w:lineRule="exact"/>
        <w:ind w:left="100" w:right="0" w:firstLine="0"/>
      </w:pPr>
      <w:r>
        <w:rPr>
          <w:rStyle w:val="CharStyle13"/>
        </w:rPr>
        <w:t>г. Ханты-Мансийск</w:t>
      </w:r>
    </w:p>
    <w:p>
      <w:pPr>
        <w:pStyle w:val="Style8"/>
        <w:widowControl w:val="0"/>
        <w:keepNext w:val="0"/>
        <w:keepLines w:val="0"/>
        <w:shd w:val="clear" w:color="auto" w:fill="auto"/>
        <w:bidi w:val="0"/>
        <w:jc w:val="left"/>
        <w:spacing w:before="0" w:after="240" w:line="274" w:lineRule="exact"/>
        <w:ind w:left="0" w:right="3260" w:firstLine="0"/>
      </w:pPr>
      <w:r>
        <w:rPr>
          <w:lang w:val="ru-RU" w:eastAsia="ru-RU" w:bidi="ru-RU"/>
          <w:w w:val="100"/>
          <w:spacing w:val="0"/>
          <w:color w:val="000000"/>
          <w:position w:val="0"/>
        </w:rPr>
        <w:t>Резолютивная часть объявлена 20.06.2019 Изготовлено в полном объеме 25.06.2019</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Председателя комиссии:</w:t>
      </w:r>
    </w:p>
    <w:p>
      <w:pPr>
        <w:pStyle w:val="Style8"/>
        <w:numPr>
          <w:ilvl w:val="0"/>
          <w:numId w:val="1"/>
        </w:numPr>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 xml:space="preserve"> Тимиргалиев В. А. - Врио заместитель руководителя Управления;</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Членов комиссии:</w:t>
      </w:r>
    </w:p>
    <w:p>
      <w:pPr>
        <w:pStyle w:val="Style8"/>
        <w:numPr>
          <w:ilvl w:val="0"/>
          <w:numId w:val="1"/>
        </w:numPr>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8"/>
        <w:numPr>
          <w:ilvl w:val="0"/>
          <w:numId w:val="1"/>
        </w:numPr>
        <w:widowControl w:val="0"/>
        <w:keepNext w:val="0"/>
        <w:keepLines w:val="0"/>
        <w:shd w:val="clear" w:color="auto" w:fill="auto"/>
        <w:bidi w:val="0"/>
        <w:jc w:val="both"/>
        <w:spacing w:before="0" w:after="240" w:line="274" w:lineRule="exact"/>
        <w:ind w:left="0" w:right="0" w:firstLine="600"/>
      </w:pPr>
      <w:r>
        <w:rPr>
          <w:lang w:val="ru-RU" w:eastAsia="ru-RU" w:bidi="ru-RU"/>
          <w:w w:val="100"/>
          <w:spacing w:val="0"/>
          <w:color w:val="000000"/>
          <w:position w:val="0"/>
        </w:rPr>
        <w:t xml:space="preserve"> Тохтахунов О.Х. - Старший государственный инспектор отдела Управления.</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от Заявителя - не явились, уведомлены надлежащим образом;</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от Заказчика - Блинов Д.В. по доверенности №2 от 14.01.2019, Мозер И.А. по доверенности №82 от 06.06.2019;</w:t>
      </w:r>
    </w:p>
    <w:p>
      <w:pPr>
        <w:pStyle w:val="Style8"/>
        <w:widowControl w:val="0"/>
        <w:keepNext w:val="0"/>
        <w:keepLines w:val="0"/>
        <w:shd w:val="clear" w:color="auto" w:fill="auto"/>
        <w:bidi w:val="0"/>
        <w:jc w:val="both"/>
        <w:spacing w:before="0" w:after="0" w:line="274" w:lineRule="exact"/>
        <w:ind w:left="0" w:right="0" w:firstLine="600"/>
      </w:pPr>
      <w:r>
        <w:rPr>
          <w:lang w:val="ru-RU" w:eastAsia="ru-RU" w:bidi="ru-RU"/>
          <w:w w:val="100"/>
          <w:spacing w:val="0"/>
          <w:color w:val="000000"/>
          <w:position w:val="0"/>
        </w:rPr>
        <w:t>от Уполномоченного органа — Пойлова Е.А. по доверенности №3 от 01.01.2019.</w:t>
      </w:r>
      <w:r>
        <w:br w:type="page"/>
      </w:r>
    </w:p>
    <w:p>
      <w:pPr>
        <w:pStyle w:val="Style8"/>
        <w:widowControl w:val="0"/>
        <w:keepNext w:val="0"/>
        <w:keepLines w:val="0"/>
        <w:shd w:val="clear" w:color="auto" w:fill="auto"/>
        <w:bidi w:val="0"/>
        <w:jc w:val="both"/>
        <w:spacing w:before="0" w:after="95" w:line="274" w:lineRule="exact"/>
        <w:ind w:left="40" w:right="60" w:firstLine="580"/>
      </w:pPr>
      <w:r>
        <w:rPr>
          <w:lang w:val="ru-RU" w:eastAsia="ru-RU" w:bidi="ru-RU"/>
          <w:w w:val="100"/>
          <w:spacing w:val="0"/>
          <w:color w:val="000000"/>
          <w:position w:val="0"/>
        </w:rPr>
        <w:t xml:space="preserve">Рассмотрев жалобу ООО «МОНОЛИТСТРОЙМОНТАЖ» (ИНН 7811219396 , ОГРН 1157847254730) от 13.06.2019 №1050-ж на действия Заказчика - КУ "Управление капитального строительства", Уполномоченного органа - Департамент государственного заказа Ханты- Мансийского автономного округа-Югры, при проведении электронного аукциона, предметом которого является выполнение работ по строительству объекта: "Многофункциональный центр прикладных квалификаций по подготовке персонала на базе бюджетного учреждения профессионального образования автономного округа «Когалымский политехнический колледж» в г. Когалым. (Общежитие кампусного типа на 100 мест)" (извещение №0187200001719000315),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widowControl w:val="0"/>
        <w:keepNext/>
        <w:keepLines/>
        <w:shd w:val="clear" w:color="auto" w:fill="auto"/>
        <w:bidi w:val="0"/>
        <w:spacing w:before="0" w:after="88" w:line="230" w:lineRule="exact"/>
        <w:ind w:left="20" w:right="0" w:firstLine="0"/>
      </w:pPr>
      <w:bookmarkStart w:id="0" w:name="bookmark0"/>
      <w:r>
        <w:rPr>
          <w:lang w:val="ru-RU" w:eastAsia="ru-RU" w:bidi="ru-RU"/>
          <w:w w:val="100"/>
          <w:spacing w:val="0"/>
          <w:color w:val="000000"/>
          <w:position w:val="0"/>
        </w:rPr>
        <w:t>установила:</w:t>
      </w:r>
      <w:bookmarkEnd w:id="0"/>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«МОНОЛИТСТРОЙМОНТАЖ» (далее - Заявитель) на действия Заказчика, Уполномоченного органа при проведении электронного аукциона.</w:t>
      </w:r>
    </w:p>
    <w:p>
      <w:pPr>
        <w:pStyle w:val="Style8"/>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Заявитель в жалобе указал следующее:</w:t>
      </w:r>
    </w:p>
    <w:p>
      <w:pPr>
        <w:pStyle w:val="Style8"/>
        <w:numPr>
          <w:ilvl w:val="0"/>
          <w:numId w:val="3"/>
        </w:numPr>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 xml:space="preserve"> В п. 17 раздела 1 документации об электронном аукционе заказчиком установлено дополнительное требование: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«Установлены в соответствии с Постановлением Правительства РФ от 04.02.2015г №99 -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В соответствии с п. 10.1 статьи 1 Градостроительного кодекса РФ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Поскольку предметом закупки является строительство объекта капитального строительства (здания), и НМЦК находится в пределах от 100 млн рублей до 500 млн рублей, Заказчик обязан был установить дополнительное требование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Предметом закупки не является линейный объект, следовательно Заказчик неверно установил дополнительное требование к участникам закупки.</w:t>
      </w:r>
    </w:p>
    <w:p>
      <w:pPr>
        <w:pStyle w:val="Style8"/>
        <w:numPr>
          <w:ilvl w:val="0"/>
          <w:numId w:val="3"/>
        </w:numPr>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 xml:space="preserve"> В п. 23 раздела 1 документации об ЭА указано:</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«2) документы (их копии), подтверждающие соответствие участника аукциона следующим требованиям:</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требуется копия или оригинал Выписки из реестра членов СРО, выданная в соответствии со ст. 55.17 ГрК РФ по форме, утвержденной приказом Ростехнадзора от 16.02.2017 № 58»</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В соответствии с изданием Приказа Федеральной службы по экологическому, технологическому и атомному надзору от 4 марта 2019 г. № 86 "Об утверждении формы выписки из реестра членов саморегулируемой организации” приказ Федеральной службы по экологическому, технологическому и атомному надзору от 16 февраля 2017 г. № 58 «Об утверждении формы выписки из реестра членов саморегулируемой организации» признается утратившим силу.</w:t>
      </w:r>
    </w:p>
    <w:p>
      <w:pPr>
        <w:pStyle w:val="Style8"/>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Заказчик установил неправомерное требование к форме выписки СРО. Приказ Федеральной службы по экологическому, технологическому и атомному надзору от 16 февраля 2017 г. № 58 утратил силу.</w:t>
      </w:r>
    </w:p>
    <w:p>
      <w:pPr>
        <w:pStyle w:val="Style8"/>
        <w:numPr>
          <w:ilvl w:val="0"/>
          <w:numId w:val="3"/>
        </w:numPr>
        <w:tabs>
          <w:tab w:leader="none" w:pos="970" w:val="left"/>
        </w:tabs>
        <w:widowControl w:val="0"/>
        <w:keepNext w:val="0"/>
        <w:keepLines w:val="0"/>
        <w:shd w:val="clear" w:color="auto" w:fill="auto"/>
        <w:bidi w:val="0"/>
        <w:jc w:val="both"/>
        <w:spacing w:before="0" w:after="245" w:line="274" w:lineRule="exact"/>
        <w:ind w:left="20" w:right="20" w:firstLine="560"/>
      </w:pPr>
      <w:r>
        <w:rPr>
          <w:lang w:val="ru-RU" w:eastAsia="ru-RU" w:bidi="ru-RU"/>
          <w:w w:val="100"/>
          <w:spacing w:val="0"/>
          <w:color w:val="000000"/>
          <w:position w:val="0"/>
        </w:rPr>
        <w:t>Заявитель полагает, что ниже установленные Заказчиком требования указанному принципу не отвечают.</w:t>
      </w:r>
    </w:p>
    <w:tbl>
      <w:tblPr>
        <w:tblOverlap w:val="never"/>
        <w:tblLayout w:type="fixed"/>
        <w:jc w:val="left"/>
      </w:tblPr>
      <w:tblGrid>
        <w:gridCol w:w="845"/>
        <w:gridCol w:w="1565"/>
        <w:gridCol w:w="7114"/>
      </w:tblGrid>
      <w:tr>
        <w:trPr>
          <w:trHeight w:val="950"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3</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Шурупы</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 xml:space="preserve">Шурупы из латуни с потайной головкой. Диаметр резьбы более 3,5 мм. Диаметр головки более 6,5 мм. Шаг резьбы более 1,5 мм. Внутренний диаметр резьбы не более 7,0 мм. Длина шурупа более 35 мм. Высота головки не более 5 мм. </w:t>
            </w:r>
            <w:r>
              <w:rPr>
                <w:rStyle w:val="CharStyle17"/>
              </w:rPr>
              <w:t xml:space="preserve">Теоретическая масса 1000 шт. шурупов более 2,05 кг. </w:t>
            </w:r>
            <w:r>
              <w:rPr>
                <w:rStyle w:val="CharStyle16"/>
              </w:rPr>
              <w:t>ГОСТ 1145- 80</w:t>
            </w:r>
          </w:p>
        </w:tc>
      </w:tr>
      <w:tr>
        <w:trPr>
          <w:trHeight w:val="706"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4</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Пленка</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7"/>
              </w:rPr>
              <w:t xml:space="preserve">Пленка полиэтиленовая. Масса 1 м2 пленки более 128,8 </w:t>
            </w:r>
            <w:r>
              <w:rPr>
                <w:rStyle w:val="CharStyle16"/>
              </w:rPr>
              <w:t>г. Номинальная толщина пленки более 0,140 мм. Пленка из полиэтилена плотностью 0,920 г/смЗ. ГОСТ 10354-82</w:t>
            </w:r>
          </w:p>
        </w:tc>
      </w:tr>
      <w:tr>
        <w:trPr>
          <w:trHeight w:val="2554"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6</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Болты, Шайбы, Гайки</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 xml:space="preserve">Болты с увеличенной полукруглой головкой и квадратным подголовком класса точности С: номинальный диаметр резьбы более 5 мм, длина болта более 20 мм, диаметр головки более 11 мм, высота подголовка не менее 4 мм, высота головки более 2,5 мм, размер стороны квадратного подголовка более 5 мм, длина резьбы более 16 мм, радиус сферы более 8 мм, </w:t>
            </w:r>
            <w:r>
              <w:rPr>
                <w:rStyle w:val="CharStyle17"/>
              </w:rPr>
              <w:t xml:space="preserve">теоретическая масса 1000 шт. болтов более 3,644 кг, </w:t>
            </w:r>
            <w:r>
              <w:rPr>
                <w:rStyle w:val="CharStyle16"/>
              </w:rPr>
              <w:t xml:space="preserve">болты соответствуют ГОСТ 7802-81. Шайбы: исполнение 1, класс точности С, изготовлены из латуни, диаметр резьбы крепежной детали более 5,0 мм, толщина шайбы более 1,0 мм, диаметр внутренний более 5,5 мм, диаметр наружный более 10,0 мм, </w:t>
            </w:r>
            <w:r>
              <w:rPr>
                <w:rStyle w:val="CharStyle17"/>
              </w:rPr>
              <w:t xml:space="preserve">теоретическая масса 1000 шт. более 0,430 кг, </w:t>
            </w:r>
            <w:r>
              <w:rPr>
                <w:rStyle w:val="CharStyle16"/>
              </w:rPr>
              <w:t>шайбы соответствуют ГОСТ 11371-78. Гайки: четырех-шестигранная головка, диаметр резьбы более 5 мм</w:t>
            </w:r>
          </w:p>
        </w:tc>
      </w:tr>
      <w:tr>
        <w:trPr>
          <w:trHeight w:val="1618"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7</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Винты</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26" w:lineRule="exact"/>
              <w:ind w:left="0" w:right="0" w:firstLine="0"/>
            </w:pPr>
            <w:r>
              <w:rPr>
                <w:rStyle w:val="CharStyle16"/>
              </w:rPr>
              <w:t xml:space="preserve">Винты самонарезающие с полукруглой головкой для металла и пластмассы. Класс точности В. Номинальный диаметр резьбы более 4 мм. Длина винта номинальная более 30 мм. Шаг резьбы крупный более 1,75 мм. Диаметр головки более 7,0 мм. Высота головки номинальная более 2,8 мм. Радиус сферы головки более 3,6 мм. Недовод резьбы не более 1,0 мм (значение неизменяемое). </w:t>
            </w:r>
            <w:r>
              <w:rPr>
                <w:rStyle w:val="CharStyle17"/>
              </w:rPr>
              <w:t xml:space="preserve">Масса 1000 шт. стальных винтов с крупным шагом резьбы более 2,65 кг. </w:t>
            </w:r>
            <w:r>
              <w:rPr>
                <w:rStyle w:val="CharStyle16"/>
              </w:rPr>
              <w:t>ГОСТ 10621-80</w:t>
            </w:r>
          </w:p>
        </w:tc>
      </w:tr>
      <w:tr>
        <w:trPr>
          <w:trHeight w:val="931"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8</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60" w:line="190" w:lineRule="exact"/>
              <w:ind w:left="0" w:right="0" w:firstLine="0"/>
            </w:pPr>
            <w:r>
              <w:rPr>
                <w:rStyle w:val="CharStyle16"/>
              </w:rPr>
              <w:t>Гвозди</w:t>
            </w:r>
          </w:p>
          <w:p>
            <w:pPr>
              <w:pStyle w:val="Style8"/>
              <w:framePr w:w="9523" w:wrap="notBeside" w:vAnchor="text" w:hAnchor="text" w:y="1"/>
              <w:widowControl w:val="0"/>
              <w:keepNext w:val="0"/>
              <w:keepLines w:val="0"/>
              <w:shd w:val="clear" w:color="auto" w:fill="auto"/>
              <w:bidi w:val="0"/>
              <w:jc w:val="both"/>
              <w:spacing w:before="60" w:after="0" w:line="190" w:lineRule="exact"/>
              <w:ind w:left="0" w:right="0" w:firstLine="0"/>
            </w:pPr>
            <w:r>
              <w:rPr>
                <w:rStyle w:val="CharStyle16"/>
              </w:rPr>
              <w:t>строительные</w:t>
            </w:r>
          </w:p>
        </w:tc>
        <w:tc>
          <w:tcPr>
            <w:shd w:val="clear" w:color="auto" w:fill="FFFFFF"/>
            <w:tcBorders>
              <w:left w:val="single" w:sz="4"/>
              <w:righ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226" w:lineRule="exact"/>
              <w:ind w:left="0" w:right="0" w:firstLine="0"/>
            </w:pPr>
            <w:r>
              <w:rPr>
                <w:rStyle w:val="CharStyle16"/>
              </w:rPr>
              <w:t xml:space="preserve">Гвозди строительные. Трефовые или трефовые с перемычками. Условный диаметр стержня более 3,0 мм. Длина гвоздя более 80 мм. Наименьший диаметр головки более 6,0 мм. </w:t>
            </w:r>
            <w:r>
              <w:rPr>
                <w:rStyle w:val="CharStyle17"/>
              </w:rPr>
              <w:t xml:space="preserve">Теоретическая масса 1000 гвоздей более 4,330 кг. </w:t>
            </w:r>
            <w:r>
              <w:rPr>
                <w:rStyle w:val="CharStyle16"/>
              </w:rPr>
              <w:t>ГОСТ 4028-63</w:t>
            </w:r>
          </w:p>
        </w:tc>
      </w:tr>
      <w:tr>
        <w:trPr>
          <w:trHeight w:val="931"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10</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Шурупы</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 xml:space="preserve">Шурупы из латуни с потайной головкой. Диаметр резьбы более 3 мм. Диаметр головки более 5,6 мм. Шаг резьбы более 1,25 мм. Внутренний диаметр резьбы не более 7,0 мм. Длина шурупа более 20 мм. Высота головки не более 5 мм. </w:t>
            </w:r>
            <w:r>
              <w:rPr>
                <w:rStyle w:val="CharStyle17"/>
              </w:rPr>
              <w:t xml:space="preserve">Теоретическая масса 1000 шт. шурупов более 0,86 кг. </w:t>
            </w:r>
            <w:r>
              <w:rPr>
                <w:rStyle w:val="CharStyle16"/>
              </w:rPr>
              <w:t>ГОСТ 1145- 80</w:t>
            </w:r>
          </w:p>
        </w:tc>
      </w:tr>
      <w:tr>
        <w:trPr>
          <w:trHeight w:val="3466" w:hRule="exact"/>
        </w:trPr>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11</w:t>
            </w:r>
          </w:p>
        </w:tc>
        <w:tc>
          <w:tcPr>
            <w:shd w:val="clear" w:color="auto" w:fill="FFFFFF"/>
            <w:tcBorders>
              <w:left w:val="single" w:sz="4"/>
              <w:top w:val="single" w:sz="4"/>
            </w:tcBorders>
            <w:vAlign w:val="top"/>
          </w:tcPr>
          <w:p>
            <w:pPr>
              <w:pStyle w:val="Style8"/>
              <w:framePr w:w="9523" w:wrap="notBeside" w:vAnchor="text" w:hAnchor="text" w:y="1"/>
              <w:widowControl w:val="0"/>
              <w:keepNext w:val="0"/>
              <w:keepLines w:val="0"/>
              <w:shd w:val="clear" w:color="auto" w:fill="auto"/>
              <w:bidi w:val="0"/>
              <w:jc w:val="both"/>
              <w:spacing w:before="0" w:after="60" w:line="190" w:lineRule="exact"/>
              <w:ind w:left="0" w:right="0" w:firstLine="0"/>
            </w:pPr>
            <w:r>
              <w:rPr>
                <w:rStyle w:val="CharStyle16"/>
              </w:rPr>
              <w:t>Шкурка</w:t>
            </w:r>
          </w:p>
          <w:p>
            <w:pPr>
              <w:pStyle w:val="Style8"/>
              <w:framePr w:w="9523" w:wrap="notBeside" w:vAnchor="text" w:hAnchor="text" w:y="1"/>
              <w:widowControl w:val="0"/>
              <w:keepNext w:val="0"/>
              <w:keepLines w:val="0"/>
              <w:shd w:val="clear" w:color="auto" w:fill="auto"/>
              <w:bidi w:val="0"/>
              <w:jc w:val="both"/>
              <w:spacing w:before="60" w:after="0" w:line="190" w:lineRule="exact"/>
              <w:ind w:left="0" w:right="0" w:firstLine="0"/>
            </w:pPr>
            <w:r>
              <w:rPr>
                <w:rStyle w:val="CharStyle16"/>
              </w:rPr>
              <w:t>шлифовальная</w:t>
            </w:r>
          </w:p>
        </w:tc>
        <w:tc>
          <w:tcPr>
            <w:shd w:val="clear" w:color="auto" w:fill="FFFFFF"/>
            <w:tcBorders>
              <w:left w:val="single" w:sz="4"/>
              <w:right w:val="single" w:sz="4"/>
              <w:top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26" w:lineRule="exact"/>
              <w:ind w:left="0" w:right="0" w:firstLine="0"/>
            </w:pPr>
            <w:r>
              <w:rPr>
                <w:rStyle w:val="CharStyle16"/>
              </w:rPr>
              <w:t xml:space="preserve">Вид изготовления двухслойная. Тип изготовления 1. Зернистость 40 или 25. Вид шлифовального материала Электрокорунд или Карбид кремния, изготовлена из ткани саржа утяжеленная (УГ) или полудвунитка гладкокрашеная (П). Режущая способность не менее 294ммЗ/мин(значение неизменяемое) или, не менее 565ммЗ/мин(значение неизменяемое) или, не менее 707ммЗ/мин(значение неизменяемое) или, не менее 510ммЗ/мин(значение неизменяемое). </w:t>
            </w:r>
            <w:r>
              <w:rPr>
                <w:rStyle w:val="CharStyle17"/>
              </w:rPr>
              <w:t xml:space="preserve">Удлинение при разрыве в продольном направлении не более 9% (значение неизменяемое) или, не более 8% (значение неизменяемое). Неравномерность толщины не более 0,08 мм (значение неизменяемое) или, не более 0,15 мм (значение неизменяемое). Разрывная нагрузка в поперечном направлении не менее 588 Н (значение неизменяемое) или, не менее 353 Н (значение неизменяемое). Разрывная нагрузка в продольном направлении не менее 1372 Н (значение неизменяемое) или, не менее 980 Н (значение неизменяемое). </w:t>
            </w:r>
            <w:r>
              <w:rPr>
                <w:rStyle w:val="CharStyle16"/>
              </w:rPr>
              <w:t>ГОСТ 13344- 79</w:t>
            </w:r>
          </w:p>
        </w:tc>
      </w:tr>
      <w:tr>
        <w:trPr>
          <w:trHeight w:val="1186" w:hRule="exact"/>
        </w:trPr>
        <w:tc>
          <w:tcPr>
            <w:shd w:val="clear" w:color="auto" w:fill="FFFFFF"/>
            <w:tcBorders>
              <w:left w:val="single" w:sz="4"/>
              <w:top w:val="single" w:sz="4"/>
              <w:bottom w:val="single" w:sz="4"/>
            </w:tcBorders>
            <w:vAlign w:val="top"/>
          </w:tcPr>
          <w:p>
            <w:pPr>
              <w:pStyle w:val="Style8"/>
              <w:framePr w:w="9523" w:wrap="notBeside" w:vAnchor="text" w:hAnchor="text" w:y="1"/>
              <w:widowControl w:val="0"/>
              <w:keepNext w:val="0"/>
              <w:keepLines w:val="0"/>
              <w:shd w:val="clear" w:color="auto" w:fill="auto"/>
              <w:bidi w:val="0"/>
              <w:jc w:val="left"/>
              <w:spacing w:before="0" w:after="0" w:line="190" w:lineRule="exact"/>
              <w:ind w:left="140" w:right="0" w:firstLine="0"/>
            </w:pPr>
            <w:r>
              <w:rPr>
                <w:rStyle w:val="CharStyle16"/>
              </w:rPr>
              <w:t>18</w:t>
            </w:r>
          </w:p>
        </w:tc>
        <w:tc>
          <w:tcPr>
            <w:shd w:val="clear" w:color="auto" w:fill="FFFFFF"/>
            <w:tcBorders>
              <w:left w:val="single" w:sz="4"/>
              <w:top w:val="single" w:sz="4"/>
              <w:bottom w:val="single" w:sz="4"/>
            </w:tcBorders>
            <w:vAlign w:val="top"/>
          </w:tcPr>
          <w:p>
            <w:pPr>
              <w:pStyle w:val="Style8"/>
              <w:framePr w:w="9523"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Кирпич</w:t>
            </w:r>
          </w:p>
        </w:tc>
        <w:tc>
          <w:tcPr>
            <w:shd w:val="clear" w:color="auto" w:fill="FFFFFF"/>
            <w:tcBorders>
              <w:left w:val="single" w:sz="4"/>
              <w:right w:val="single" w:sz="4"/>
              <w:top w:val="single" w:sz="4"/>
              <w:bottom w:val="single" w:sz="4"/>
            </w:tcBorders>
            <w:vAlign w:val="bottom"/>
          </w:tcPr>
          <w:p>
            <w:pPr>
              <w:pStyle w:val="Style8"/>
              <w:framePr w:w="9523"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 xml:space="preserve">Номинальные размеры кирпича (ДхШхВ) </w:t>
            </w:r>
            <w:r>
              <w:rPr>
                <w:rStyle w:val="CharStyle16"/>
                <w:lang w:val="en-US" w:eastAsia="en-US" w:bidi="en-US"/>
              </w:rPr>
              <w:t xml:space="preserve">250x120x65 </w:t>
            </w:r>
            <w:r>
              <w:rPr>
                <w:rStyle w:val="CharStyle16"/>
              </w:rPr>
              <w:t xml:space="preserve">мм или </w:t>
            </w:r>
            <w:r>
              <w:rPr>
                <w:rStyle w:val="CharStyle16"/>
                <w:lang w:val="en-US" w:eastAsia="en-US" w:bidi="en-US"/>
              </w:rPr>
              <w:t xml:space="preserve">250x120x88 </w:t>
            </w:r>
            <w:r>
              <w:rPr>
                <w:rStyle w:val="CharStyle16"/>
              </w:rPr>
              <w:t xml:space="preserve">мм. Обозначение размера изделия 1,4 НФ или 1 НФ. Группа изделий по теплотехническим характеристикам условноэффективные или повышенной эффективности. </w:t>
            </w:r>
            <w:r>
              <w:rPr>
                <w:rStyle w:val="CharStyle17"/>
              </w:rPr>
              <w:t xml:space="preserve">Средняя плотность в диапазоне 810-1000 кг/мЗ или в диапазоне 1210-1400 кг/мЗ, </w:t>
            </w:r>
            <w:r>
              <w:rPr>
                <w:rStyle w:val="CharStyle16"/>
              </w:rPr>
              <w:t>Класс средней плотности изделия 1,4 или 1,0.</w:t>
            </w:r>
          </w:p>
        </w:tc>
      </w:tr>
    </w:tbl>
    <w:p>
      <w:pPr>
        <w:widowControl w:val="0"/>
        <w:rPr>
          <w:sz w:val="2"/>
          <w:szCs w:val="2"/>
        </w:rPr>
      </w:pPr>
    </w:p>
    <w:tbl>
      <w:tblPr>
        <w:tblOverlap w:val="never"/>
        <w:tblLayout w:type="fixed"/>
        <w:jc w:val="left"/>
      </w:tblPr>
      <w:tblGrid>
        <w:gridCol w:w="826"/>
        <w:gridCol w:w="1570"/>
        <w:gridCol w:w="7085"/>
      </w:tblGrid>
      <w:tr>
        <w:trPr>
          <w:trHeight w:val="250" w:hRule="exact"/>
        </w:trPr>
        <w:tc>
          <w:tcPr>
            <w:shd w:val="clear" w:color="auto" w:fill="FFFFFF"/>
            <w:tcBorders>
              <w:left w:val="single" w:sz="4"/>
              <w:top w:val="single" w:sz="4"/>
            </w:tcBorders>
            <w:vAlign w:val="top"/>
          </w:tcPr>
          <w:p>
            <w:pPr>
              <w:framePr w:w="9480" w:wrap="notBeside" w:vAnchor="text" w:hAnchor="text" w:y="1"/>
              <w:widowControl w:val="0"/>
              <w:rPr>
                <w:sz w:val="10"/>
                <w:szCs w:val="10"/>
              </w:rPr>
            </w:pPr>
          </w:p>
        </w:tc>
        <w:tc>
          <w:tcPr>
            <w:shd w:val="clear" w:color="auto" w:fill="FFFFFF"/>
            <w:tcBorders>
              <w:left w:val="single" w:sz="4"/>
              <w:top w:val="single" w:sz="4"/>
            </w:tcBorders>
            <w:vAlign w:val="top"/>
          </w:tcPr>
          <w:p>
            <w:pPr>
              <w:framePr w:w="9480" w:wrap="notBeside" w:vAnchor="text" w:hAnchor="text" w:y="1"/>
              <w:widowControl w:val="0"/>
              <w:rPr>
                <w:sz w:val="10"/>
                <w:szCs w:val="10"/>
              </w:rPr>
            </w:pPr>
          </w:p>
        </w:tc>
        <w:tc>
          <w:tcPr>
            <w:shd w:val="clear" w:color="auto" w:fill="FFFFFF"/>
            <w:tcBorders>
              <w:left w:val="single" w:sz="4"/>
              <w:right w:val="single" w:sz="4"/>
              <w:top w:val="single" w:sz="4"/>
            </w:tcBorders>
            <w:vAlign w:val="bottom"/>
          </w:tcPr>
          <w:p>
            <w:pPr>
              <w:pStyle w:val="Style8"/>
              <w:framePr w:w="9480" w:wrap="notBeside" w:vAnchor="text" w:hAnchor="text" w:y="1"/>
              <w:widowControl w:val="0"/>
              <w:keepNext w:val="0"/>
              <w:keepLines w:val="0"/>
              <w:shd w:val="clear" w:color="auto" w:fill="auto"/>
              <w:bidi w:val="0"/>
              <w:jc w:val="both"/>
              <w:spacing w:before="0" w:after="0" w:line="190" w:lineRule="exact"/>
              <w:ind w:left="0" w:right="0" w:firstLine="0"/>
            </w:pPr>
            <w:r>
              <w:rPr>
                <w:rStyle w:val="CharStyle16"/>
              </w:rPr>
              <w:t>ГОСТ 530-2012</w:t>
            </w:r>
          </w:p>
        </w:tc>
      </w:tr>
      <w:tr>
        <w:trPr>
          <w:trHeight w:val="720" w:hRule="exact"/>
        </w:trPr>
        <w:tc>
          <w:tcPr>
            <w:shd w:val="clear" w:color="auto" w:fill="FFFFFF"/>
            <w:tcBorders>
              <w:left w:val="single" w:sz="4"/>
              <w:top w:val="single" w:sz="4"/>
              <w:bottom w:val="single" w:sz="4"/>
            </w:tcBorders>
            <w:vAlign w:val="top"/>
          </w:tcPr>
          <w:p>
            <w:pPr>
              <w:pStyle w:val="Style8"/>
              <w:framePr w:w="9480" w:wrap="notBeside" w:vAnchor="text" w:hAnchor="text" w:y="1"/>
              <w:widowControl w:val="0"/>
              <w:keepNext w:val="0"/>
              <w:keepLines w:val="0"/>
              <w:shd w:val="clear" w:color="auto" w:fill="auto"/>
              <w:bidi w:val="0"/>
              <w:jc w:val="left"/>
              <w:spacing w:before="0" w:after="0" w:line="190" w:lineRule="exact"/>
              <w:ind w:left="120" w:right="0" w:firstLine="0"/>
            </w:pPr>
            <w:r>
              <w:rPr>
                <w:rStyle w:val="CharStyle16"/>
              </w:rPr>
              <w:t>49</w:t>
            </w:r>
          </w:p>
        </w:tc>
        <w:tc>
          <w:tcPr>
            <w:shd w:val="clear" w:color="auto" w:fill="FFFFFF"/>
            <w:tcBorders>
              <w:left w:val="single" w:sz="4"/>
              <w:top w:val="single" w:sz="4"/>
              <w:bottom w:val="single" w:sz="4"/>
            </w:tcBorders>
            <w:vAlign w:val="top"/>
          </w:tcPr>
          <w:p>
            <w:pPr>
              <w:pStyle w:val="Style8"/>
              <w:framePr w:w="9480" w:wrap="notBeside" w:vAnchor="text" w:hAnchor="text" w:y="1"/>
              <w:widowControl w:val="0"/>
              <w:keepNext w:val="0"/>
              <w:keepLines w:val="0"/>
              <w:shd w:val="clear" w:color="auto" w:fill="auto"/>
              <w:bidi w:val="0"/>
              <w:jc w:val="left"/>
              <w:spacing w:before="0" w:after="0" w:line="190" w:lineRule="exact"/>
              <w:ind w:left="120" w:right="0" w:firstLine="0"/>
            </w:pPr>
            <w:r>
              <w:rPr>
                <w:rStyle w:val="CharStyle16"/>
              </w:rPr>
              <w:t>Трубы</w:t>
            </w:r>
          </w:p>
        </w:tc>
        <w:tc>
          <w:tcPr>
            <w:shd w:val="clear" w:color="auto" w:fill="FFFFFF"/>
            <w:tcBorders>
              <w:left w:val="single" w:sz="4"/>
              <w:right w:val="single" w:sz="4"/>
              <w:top w:val="single" w:sz="4"/>
              <w:bottom w:val="single" w:sz="4"/>
            </w:tcBorders>
            <w:vAlign w:val="bottom"/>
          </w:tcPr>
          <w:p>
            <w:pPr>
              <w:pStyle w:val="Style8"/>
              <w:framePr w:w="9480" w:wrap="notBeside" w:vAnchor="text" w:hAnchor="text" w:y="1"/>
              <w:widowControl w:val="0"/>
              <w:keepNext w:val="0"/>
              <w:keepLines w:val="0"/>
              <w:shd w:val="clear" w:color="auto" w:fill="auto"/>
              <w:bidi w:val="0"/>
              <w:jc w:val="both"/>
              <w:spacing w:before="0" w:after="0" w:line="230" w:lineRule="exact"/>
              <w:ind w:left="0" w:right="0" w:firstLine="0"/>
            </w:pPr>
            <w:r>
              <w:rPr>
                <w:rStyle w:val="CharStyle16"/>
              </w:rPr>
              <w:t>Трубы стальные квадратные. Наружный размер более 35 мм. Толщина стенки более 2,5 мм. Масса 1 м более 2,46 кг. Площадь сечения более 3,14 см2. Плотность стали 7,85 г/смЗ. ГОСТ 8639-82</w:t>
            </w:r>
          </w:p>
        </w:tc>
      </w:tr>
    </w:tbl>
    <w:p>
      <w:pPr>
        <w:widowControl w:val="0"/>
        <w:rPr>
          <w:sz w:val="2"/>
          <w:szCs w:val="2"/>
        </w:rPr>
      </w:pPr>
    </w:p>
    <w:p>
      <w:pPr>
        <w:pStyle w:val="Style8"/>
        <w:widowControl w:val="0"/>
        <w:keepNext w:val="0"/>
        <w:keepLines w:val="0"/>
        <w:shd w:val="clear" w:color="auto" w:fill="auto"/>
        <w:bidi w:val="0"/>
        <w:jc w:val="both"/>
        <w:spacing w:before="254" w:after="0" w:line="274" w:lineRule="exact"/>
        <w:ind w:left="40" w:right="60" w:firstLine="700"/>
      </w:pPr>
      <w:r>
        <w:rPr>
          <w:lang w:val="ru-RU" w:eastAsia="ru-RU" w:bidi="ru-RU"/>
          <w:w w:val="100"/>
          <w:spacing w:val="0"/>
          <w:color w:val="000000"/>
          <w:position w:val="0"/>
        </w:rPr>
        <w:t>Выделенные характеристики товара, включают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w:t>
      </w:r>
    </w:p>
    <w:p>
      <w:pPr>
        <w:pStyle w:val="Style8"/>
        <w:widowControl w:val="0"/>
        <w:keepNext w:val="0"/>
        <w:keepLines w:val="0"/>
        <w:shd w:val="clear" w:color="auto" w:fill="auto"/>
        <w:bidi w:val="0"/>
        <w:jc w:val="both"/>
        <w:spacing w:before="0" w:after="0" w:line="274" w:lineRule="exact"/>
        <w:ind w:left="40" w:right="60" w:firstLine="700"/>
      </w:pPr>
      <w:r>
        <w:rPr>
          <w:lang w:val="ru-RU" w:eastAsia="ru-RU" w:bidi="ru-RU"/>
          <w:w w:val="100"/>
          <w:spacing w:val="0"/>
          <w:color w:val="000000"/>
          <w:position w:val="0"/>
        </w:rPr>
        <w:t>В соответствии с Письмом ФАС России от 01.07.2016 № ИА/44536/16 «Об установлении заказчиком требований к составу, инструкции по заполнению заявки на участие в закупке»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 ФАС России сообщает территориальным органам о необходимости учета позиций, изложенных в письме, при осуществлении полномочий по контролю в сфере закупок товаров, работ, услуг для государственных и муниципальных нужд.</w:t>
      </w:r>
    </w:p>
    <w:p>
      <w:pPr>
        <w:pStyle w:val="Style8"/>
        <w:widowControl w:val="0"/>
        <w:keepNext w:val="0"/>
        <w:keepLines w:val="0"/>
        <w:shd w:val="clear" w:color="auto" w:fill="auto"/>
        <w:bidi w:val="0"/>
        <w:jc w:val="both"/>
        <w:spacing w:before="0" w:after="0" w:line="274" w:lineRule="exact"/>
        <w:ind w:left="40" w:right="60" w:firstLine="700"/>
      </w:pPr>
      <w:r>
        <w:rPr>
          <w:lang w:val="ru-RU" w:eastAsia="ru-RU" w:bidi="ru-RU"/>
          <w:w w:val="100"/>
          <w:spacing w:val="0"/>
          <w:color w:val="000000"/>
          <w:position w:val="0"/>
        </w:rPr>
        <w:t>Такие показатели как теоретическая масса 1000 штук шурупов, масса 1000 шт. стальных винтов, масса 1м пленки и т.п. вообще не содержат в себе основные характеристики товара. Такие показатели являются теоретическими и никак не влияют на основную функцию товара.</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Таким образом, при описании объекта закупки в Техническом задании документации об электронном аукционе заказчиком допущены нарушения пунктов 1 и 2 части 1 статьи 33 Закона о контрактной системе, выразившиеся в необъективном описании объекта закупки и установлении требований к товарам, работам, услугам, которые влекут за собой ограничение количества участников закупки. Закон не обязывает участника иметь товар в наличии на момент подачи заявки.</w:t>
      </w:r>
    </w:p>
    <w:p>
      <w:pPr>
        <w:pStyle w:val="Style3"/>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В ходе рассмотрения доводов Заявителя Комиссией Управления установлено следующее.</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В соответствии с требованиями части 1 и 2 статьи 24 Федерального закона № 44-ФЗ от 05.04.2013 года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8"/>
        <w:widowControl w:val="0"/>
        <w:keepNext w:val="0"/>
        <w:keepLines w:val="0"/>
        <w:shd w:val="clear" w:color="auto" w:fill="auto"/>
        <w:bidi w:val="0"/>
        <w:jc w:val="both"/>
        <w:spacing w:before="0" w:after="0" w:line="274" w:lineRule="exact"/>
        <w:ind w:left="40" w:right="60" w:firstLine="58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выполнение работ по строительству объекта: "Многофункциональный центр прикладных квалификаций по подготовке персонала на базе бюджетного учреждения профессионального образования автономного округа «Когалымский политехнический колледж» в г. Когалым. (Общежитие кампусного типа на 100 мест)" (извещение №0187200001719000315) размещены на официальном сайте единой информационной системы 07.05.2019.</w:t>
      </w:r>
    </w:p>
    <w:p>
      <w:pPr>
        <w:pStyle w:val="Style8"/>
        <w:numPr>
          <w:ilvl w:val="0"/>
          <w:numId w:val="5"/>
        </w:numPr>
        <w:tabs>
          <w:tab w:leader="none" w:pos="922" w:val="left"/>
        </w:tabs>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8"/>
        <w:numPr>
          <w:ilvl w:val="0"/>
          <w:numId w:val="7"/>
        </w:numPr>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 xml:space="preserve"> финансовых ресурсов для исполнения контракта;</w:t>
      </w:r>
    </w:p>
    <w:p>
      <w:pPr>
        <w:pStyle w:val="Style8"/>
        <w:numPr>
          <w:ilvl w:val="0"/>
          <w:numId w:val="7"/>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8"/>
        <w:numPr>
          <w:ilvl w:val="0"/>
          <w:numId w:val="7"/>
        </w:numPr>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8"/>
        <w:numPr>
          <w:ilvl w:val="0"/>
          <w:numId w:val="7"/>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 (часть 3 статьи 31 Закона о контрактной системе).</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Постановлением Правительства РФ от 04.02.2015 № 99 (ред. от 21.03.2019) 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(вместе с "Дополнительными требованиями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(далее — Постановление №99).</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Пунктом 17 раздела I аукционной документации установлены дополнительные требования к участникам закупки:</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«Установлены в соответствии с Постановлением Правительства РФ от 04.02.2015г №99 -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w:t>
      </w:r>
    </w:p>
    <w:p>
      <w:pPr>
        <w:pStyle w:val="Style8"/>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В Постановлении №99 установлено 2 варианта наименования дополнительных требований:</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- 2. Выполнение работ по строительству, реконструкции, капитальному ремонту, сносу объекта капитального строительства, </w:t>
      </w:r>
      <w:r>
        <w:rPr>
          <w:rStyle w:val="CharStyle12"/>
          <w:lang w:val="ru-RU" w:eastAsia="ru-RU" w:bidi="ru-RU"/>
        </w:rPr>
        <w:t>за исключением линейного объекта,</w:t>
      </w:r>
      <w:r>
        <w:rPr>
          <w:lang w:val="ru-RU" w:eastAsia="ru-RU" w:bidi="ru-RU"/>
          <w:w w:val="100"/>
          <w:spacing w:val="0"/>
          <w:color w:val="000000"/>
          <w:position w:val="0"/>
        </w:rPr>
        <w:t xml:space="preserve"> если начальная (максимальная) цена контракта (цена лота) превышает 10 млн. рублей.</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 xml:space="preserve">- 2(1). Выполнение работ по строительству, реконструкции, капитальному ремонту, сносу </w:t>
      </w:r>
      <w:r>
        <w:rPr>
          <w:rStyle w:val="CharStyle12"/>
          <w:lang w:val="ru-RU" w:eastAsia="ru-RU" w:bidi="ru-RU"/>
        </w:rPr>
        <w:t>линейного объекта,</w:t>
      </w:r>
      <w:r>
        <w:rPr>
          <w:lang w:val="ru-RU" w:eastAsia="ru-RU" w:bidi="ru-RU"/>
          <w:w w:val="100"/>
          <w:spacing w:val="0"/>
          <w:color w:val="000000"/>
          <w:position w:val="0"/>
        </w:rPr>
        <w:t xml:space="preserve"> если начальная (максимальная) цена контракта (цена лота) превышает 10 млн. рублей.</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Согласно пункту 10.1) статьи 1 Градостроительного кодекса Российской Федерации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Статьей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установлено, что автомобильная дорога — это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На заседании Комиссии Управления представители Заказчика пояснили, что проектно</w:t>
        <w:softHyphen/>
        <w:t>сметной документацией на строительство объекта предусмотрены работы по рекультивации земель после прокладки сетей. При проведении указанных работ предусмотрены демонтажные работы по снятию асфальтового покрытия проездов, снятие плодородного слоя, демонтаж отмостки и бордюров, что относится к автомобильным дорогам, в связи с чем Заказчиком было установлено требование в соответствии с пунктом 2.(1) Постановления №99.</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jc w:val="both"/>
        <w:spacing w:before="0" w:after="240" w:line="274" w:lineRule="exact"/>
        <w:ind w:left="20" w:right="40" w:firstLine="580"/>
      </w:pPr>
      <w:r>
        <w:rPr>
          <w:lang w:val="ru-RU" w:eastAsia="ru-RU" w:bidi="ru-RU"/>
          <w:w w:val="100"/>
          <w:spacing w:val="0"/>
          <w:color w:val="000000"/>
          <w:position w:val="0"/>
        </w:rPr>
        <w:t>Комиссия Управления отмечает, что Заявитель явку на заседание Комиссии Управления не обеспечил, документы, подтверждающие, что работы, установленные Заказчиком не относятся к линейным объектам не предствил, в связи с чем Комиссия Управления приходит к выводу, что довод Заявителя не нашел своего подтверждения.</w:t>
      </w:r>
    </w:p>
    <w:p>
      <w:pPr>
        <w:pStyle w:val="Style8"/>
        <w:numPr>
          <w:ilvl w:val="0"/>
          <w:numId w:val="5"/>
        </w:numPr>
        <w:tabs>
          <w:tab w:leader="none" w:pos="904" w:val="left"/>
        </w:tabs>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Подпунктом 2 пункта 23 раздела I аукционной документации установлено, что во сторой части заявки участникам закупки требуется предоставить копию или оригинал Выписки из реестра членов СРО, выданная в соответствии со ст. 55.17 ГрК РФ по форме, утвержденной приказом Ростехнадзора от 16.02.2017 № 58.</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 xml:space="preserve">Вместе с тем, Приказ Ростехнадзора от 16.02.2017 </w:t>
      </w:r>
      <w:r>
        <w:rPr>
          <w:lang w:val="en-US" w:eastAsia="en-US" w:bidi="en-US"/>
          <w:w w:val="100"/>
          <w:spacing w:val="0"/>
          <w:color w:val="000000"/>
          <w:position w:val="0"/>
        </w:rPr>
        <w:t xml:space="preserve">N </w:t>
      </w:r>
      <w:r>
        <w:rPr>
          <w:lang w:val="ru-RU" w:eastAsia="ru-RU" w:bidi="ru-RU"/>
          <w:w w:val="100"/>
          <w:spacing w:val="0"/>
          <w:color w:val="000000"/>
          <w:position w:val="0"/>
        </w:rPr>
        <w:t xml:space="preserve">58 "Об утверждении формы выписки из реестра членов саморегулируемой организации" утратил силу 19.04.2019, в связи с изданием Приказа Ростехнадзора от 04.03.2019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86, вступившего в силу по истечении 10 дней после дня официального опубликования (опубликован на Официальном интернет-портале правовой информации </w:t>
      </w:r>
      <w:r>
        <w:fldChar w:fldCharType="begin"/>
      </w:r>
      <w:r>
        <w:rPr>
          <w:color w:val="000000"/>
        </w:rPr>
        <w:instrText> HYPERLINK "http://www.pravo.gov.ru" </w:instrText>
      </w:r>
      <w:r>
        <w:fldChar w:fldCharType="separate"/>
      </w:r>
      <w:r>
        <w:rPr>
          <w:rStyle w:val="Hyperlink"/>
          <w:lang w:val="en-US" w:eastAsia="en-US" w:bidi="en-US"/>
          <w:w w:val="100"/>
          <w:spacing w:val="0"/>
          <w:position w:val="0"/>
        </w:rPr>
        <w:t>http://www.pravo.gov.ru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- 09.04.2019).</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На заселении Комиссии Управления представители Заказчика и Уполномоченного органа отметили, что 15.05.2019 в аукционную документацию были внесены изменения в подпункт 2 пункта 23 раздела I аукционной документации, который был изложен в следующей редакции:</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«требуется копия или оригинал Выписки из реестра членов СРО, выданная в соответствии со ст. 55.17 ГрК РФ по форме, утвержденной приказом Ростехнадзора».</w:t>
      </w:r>
    </w:p>
    <w:p>
      <w:pPr>
        <w:pStyle w:val="Style8"/>
        <w:widowControl w:val="0"/>
        <w:keepNext w:val="0"/>
        <w:keepLines w:val="0"/>
        <w:shd w:val="clear" w:color="auto" w:fill="auto"/>
        <w:bidi w:val="0"/>
        <w:jc w:val="both"/>
        <w:spacing w:before="0" w:after="0" w:line="274" w:lineRule="exact"/>
        <w:ind w:left="20" w:right="40" w:firstLine="580"/>
      </w:pPr>
      <w:r>
        <w:rPr>
          <w:lang w:val="ru-RU" w:eastAsia="ru-RU" w:bidi="ru-RU"/>
          <w:w w:val="100"/>
          <w:spacing w:val="0"/>
          <w:color w:val="000000"/>
          <w:position w:val="0"/>
        </w:rPr>
        <w:t>В соответствии с частью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Таким образом, Заказчик в соответствии с частью 6 статьи 65 Закона о контрактной системе самостоятельно внес изменения в положения обжалуемые Заявителем (подпункт 2 пункта 23 раздела I аукционной документации, при этом Комиссия Управления отмечает, что такие изменения были внесены Заказчика до подачи Заявителем жалобы и не может рассматриваться как нарушение положений законодательства о контрактной системе.</w:t>
      </w:r>
    </w:p>
    <w:p>
      <w:pPr>
        <w:pStyle w:val="Style8"/>
        <w:widowControl w:val="0"/>
        <w:keepNext w:val="0"/>
        <w:keepLines w:val="0"/>
        <w:shd w:val="clear" w:color="auto" w:fill="auto"/>
        <w:bidi w:val="0"/>
        <w:jc w:val="both"/>
        <w:spacing w:before="0" w:after="236" w:line="274" w:lineRule="exact"/>
        <w:ind w:left="20" w:right="20" w:firstLine="580"/>
      </w:pPr>
      <w:r>
        <w:rPr>
          <w:lang w:val="ru-RU" w:eastAsia="ru-RU" w:bidi="ru-RU"/>
          <w:w w:val="100"/>
          <w:spacing w:val="0"/>
          <w:color w:val="000000"/>
          <w:position w:val="0"/>
        </w:rPr>
        <w:t>На основании вышеизложенного, Комиссия Управления пришла к выводу об отсутствии в действиях Заказчика нарушения положений законодательтельства о контарктной системе по второму доводу Заявителя.</w:t>
      </w:r>
    </w:p>
    <w:p>
      <w:pPr>
        <w:pStyle w:val="Style8"/>
        <w:numPr>
          <w:ilvl w:val="0"/>
          <w:numId w:val="5"/>
        </w:numPr>
        <w:tabs>
          <w:tab w:leader="none" w:pos="904" w:val="left"/>
        </w:tabs>
        <w:widowControl w:val="0"/>
        <w:keepNext w:val="0"/>
        <w:keepLines w:val="0"/>
        <w:shd w:val="clear" w:color="auto" w:fill="auto"/>
        <w:bidi w:val="0"/>
        <w:jc w:val="both"/>
        <w:spacing w:before="0" w:after="0" w:line="278" w:lineRule="exact"/>
        <w:ind w:left="20" w:right="20" w:firstLine="580"/>
      </w:pPr>
      <w:r>
        <w:rPr>
          <w:lang w:val="ru-RU" w:eastAsia="ru-RU" w:bidi="ru-RU"/>
          <w:w w:val="100"/>
          <w:spacing w:val="0"/>
          <w:color w:val="000000"/>
          <w:position w:val="0"/>
        </w:rPr>
        <w:t>Статьей 8 Закона о контрактной системе установлен принцип обеспечения конкуренции, который выражается в следующем:</w:t>
      </w:r>
    </w:p>
    <w:p>
      <w:pPr>
        <w:pStyle w:val="Style8"/>
        <w:numPr>
          <w:ilvl w:val="0"/>
          <w:numId w:val="9"/>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numPr>
          <w:ilvl w:val="0"/>
          <w:numId w:val="9"/>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В соответствии с требованиями пункта 1 и пункта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8"/>
        <w:numPr>
          <w:ilvl w:val="0"/>
          <w:numId w:val="11"/>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numPr>
          <w:ilvl w:val="0"/>
          <w:numId w:val="11"/>
        </w:numPr>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8"/>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Пунктом 2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8"/>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Из письма ФАС России от 01.07.2016 №ИА/44536/16 «Об установлении заказчиком требований к составу, инструкции по заполнению заявки на участие в закупке» следует, что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8"/>
        <w:widowControl w:val="0"/>
        <w:keepNext w:val="0"/>
        <w:keepLines w:val="0"/>
        <w:shd w:val="clear" w:color="auto" w:fill="auto"/>
        <w:bidi w:val="0"/>
        <w:jc w:val="both"/>
        <w:spacing w:before="0" w:after="0" w:line="274" w:lineRule="exact"/>
        <w:ind w:left="40" w:right="40" w:firstLine="580"/>
      </w:pPr>
      <w:r>
        <w:rPr>
          <w:lang w:val="ru-RU" w:eastAsia="ru-RU" w:bidi="ru-RU"/>
          <w:w w:val="100"/>
          <w:spacing w:val="0"/>
          <w:color w:val="000000"/>
          <w:position w:val="0"/>
        </w:rPr>
        <w:t>Изучив аукционную документацию, Комиссия Управления приходит к выводу о том, что техническое задание не противоречит положениям статьи 33 Закона о контрактной системе, Заказчиком установлены показатели в соответствии с государственными стандартами и позволяют определить потребность Заказчика. Кроме того, теоритическая масса не является химическим составом или компонентом товара, для определения которой требуется проводить испытания.</w:t>
      </w:r>
    </w:p>
    <w:p>
      <w:pPr>
        <w:pStyle w:val="Style8"/>
        <w:widowControl w:val="0"/>
        <w:keepNext w:val="0"/>
        <w:keepLines w:val="0"/>
        <w:shd w:val="clear" w:color="auto" w:fill="auto"/>
        <w:bidi w:val="0"/>
        <w:jc w:val="both"/>
        <w:spacing w:before="0" w:after="0" w:line="274" w:lineRule="exact"/>
        <w:ind w:left="40" w:right="0" w:firstLine="580"/>
      </w:pPr>
      <w:r>
        <w:rPr>
          <w:lang w:val="ru-RU" w:eastAsia="ru-RU" w:bidi="ru-RU"/>
          <w:w w:val="100"/>
          <w:spacing w:val="0"/>
          <w:color w:val="000000"/>
          <w:position w:val="0"/>
        </w:rPr>
        <w:t>На основании вышеизложенного, довод Заявителя не нашел своего подтверждения.</w:t>
      </w:r>
    </w:p>
    <w:p>
      <w:pPr>
        <w:pStyle w:val="Style8"/>
        <w:widowControl w:val="0"/>
        <w:keepNext w:val="0"/>
        <w:keepLines w:val="0"/>
        <w:shd w:val="clear" w:color="auto" w:fill="auto"/>
        <w:bidi w:val="0"/>
        <w:jc w:val="both"/>
        <w:spacing w:before="0" w:after="635" w:line="274" w:lineRule="exact"/>
        <w:ind w:left="40" w:right="40" w:firstLine="58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left"/>
        <w:spacing w:before="0" w:after="0" w:line="230" w:lineRule="exact"/>
        <w:ind w:left="5100" w:right="0" w:firstLine="0"/>
      </w:pPr>
      <w:r>
        <w:rPr>
          <w:lang w:val="ru-RU" w:eastAsia="ru-RU" w:bidi="ru-RU"/>
          <w:w w:val="100"/>
          <w:spacing w:val="0"/>
          <w:color w:val="000000"/>
          <w:position w:val="0"/>
        </w:rPr>
        <w:t>Решила:</w:t>
      </w:r>
      <w:r>
        <w:br w:type="page"/>
      </w:r>
    </w:p>
    <w:p>
      <w:pPr>
        <w:pStyle w:val="Style8"/>
        <w:numPr>
          <w:ilvl w:val="0"/>
          <w:numId w:val="13"/>
        </w:numPr>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 xml:space="preserve"> Признать жалобу ООО «МОНОЛИТСТРОЙМОНТАЖ» (ИНН 7811219396 , ОГРН 1157847254730) от 13.06.2019 №1050-ж на действия Заказчика - КУ "Управление капитального строительства", Уполномоченного органа - Департамент государственного заказа Ханты- Мансийского автономного округа-Югры, при проведении электронного аукциона, предметом которого является выполнение работ по строительству объекта: "Многофункциональный центр прикладных квалификаций по подготовке персонала на базе бюджетного учреждения профессионального образования автономного округа «Когалымский политехнический колледж» в г. Когалым. (Общежитие кампусного типа на 100 мест)" (извещение №0187200001719000315) необоснованной.</w:t>
      </w:r>
    </w:p>
    <w:p>
      <w:pPr>
        <w:pStyle w:val="Style8"/>
        <w:numPr>
          <w:ilvl w:val="0"/>
          <w:numId w:val="13"/>
        </w:numPr>
        <w:widowControl w:val="0"/>
        <w:keepNext w:val="0"/>
        <w:keepLines w:val="0"/>
        <w:shd w:val="clear" w:color="auto" w:fill="auto"/>
        <w:bidi w:val="0"/>
        <w:jc w:val="both"/>
        <w:spacing w:before="0" w:after="0" w:line="274" w:lineRule="exact"/>
        <w:ind w:left="20" w:right="0" w:firstLine="580"/>
        <w:sectPr>
          <w:type w:val="continuous"/>
          <w:pgSz w:w="11906" w:h="16838"/>
          <w:pgMar w:top="1522" w:left="826" w:right="759" w:bottom="716" w:header="0" w:footer="3" w:gutter="0"/>
          <w:rtlGutter w:val="0"/>
          <w:cols w:space="720"/>
          <w:noEndnote/>
          <w:docGrid w:linePitch="360"/>
        </w:sectPr>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8"/>
        <w:framePr w:w="2701" w:h="216" w:wrap="none" w:vAnchor="text" w:hAnchor="margin" w:x="16" w:y="92"/>
        <w:widowControl w:val="0"/>
        <w:keepNext w:val="0"/>
        <w:keepLines w:val="0"/>
        <w:shd w:val="clear" w:color="auto" w:fill="auto"/>
        <w:bidi w:val="0"/>
        <w:jc w:val="left"/>
        <w:spacing w:before="0" w:after="0" w:line="200" w:lineRule="exact"/>
        <w:ind w:left="100" w:right="0" w:firstLine="0"/>
      </w:pPr>
      <w:r>
        <w:rPr>
          <w:rStyle w:val="CharStyle13"/>
        </w:rPr>
        <w:t>Председатель Комиссии</w:t>
      </w:r>
    </w:p>
    <w:p>
      <w:pPr>
        <w:pStyle w:val="Style8"/>
        <w:framePr w:w="2058" w:h="216" w:wrap="none" w:vAnchor="text" w:hAnchor="margin" w:x="7955" w:y="102"/>
        <w:widowControl w:val="0"/>
        <w:keepNext w:val="0"/>
        <w:keepLines w:val="0"/>
        <w:shd w:val="clear" w:color="auto" w:fill="auto"/>
        <w:bidi w:val="0"/>
        <w:jc w:val="left"/>
        <w:spacing w:before="0" w:after="0" w:line="200" w:lineRule="exact"/>
        <w:ind w:left="100" w:right="0" w:firstLine="0"/>
      </w:pPr>
      <w:r>
        <w:rPr>
          <w:rStyle w:val="CharStyle13"/>
        </w:rPr>
        <w:t>Тимиргалиев В.А.</w:t>
      </w:r>
    </w:p>
    <w:p>
      <w:pPr>
        <w:pStyle w:val="Style8"/>
        <w:framePr w:w="2038" w:h="213" w:wrap="none" w:vAnchor="text" w:hAnchor="margin" w:x="11" w:y="644"/>
        <w:widowControl w:val="0"/>
        <w:keepNext w:val="0"/>
        <w:keepLines w:val="0"/>
        <w:shd w:val="clear" w:color="auto" w:fill="auto"/>
        <w:bidi w:val="0"/>
        <w:jc w:val="left"/>
        <w:spacing w:before="0" w:after="0" w:line="200" w:lineRule="exact"/>
        <w:ind w:left="100" w:right="0" w:firstLine="0"/>
      </w:pPr>
      <w:r>
        <w:rPr>
          <w:rStyle w:val="CharStyle13"/>
        </w:rPr>
        <w:t>Члены Комиссии:</w:t>
      </w:r>
    </w:p>
    <w:p>
      <w:pPr>
        <w:pStyle w:val="Style8"/>
        <w:framePr w:w="1606" w:h="216" w:wrap="none" w:vAnchor="text" w:hAnchor="margin" w:x="7960" w:y="654"/>
        <w:widowControl w:val="0"/>
        <w:keepNext w:val="0"/>
        <w:keepLines w:val="0"/>
        <w:shd w:val="clear" w:color="auto" w:fill="auto"/>
        <w:bidi w:val="0"/>
        <w:jc w:val="left"/>
        <w:spacing w:before="0" w:after="0" w:line="200" w:lineRule="exact"/>
        <w:ind w:left="100" w:right="0" w:firstLine="0"/>
      </w:pPr>
      <w:r>
        <w:rPr>
          <w:rStyle w:val="CharStyle13"/>
        </w:rPr>
        <w:t>Капаклы А.Д.</w:t>
      </w:r>
    </w:p>
    <w:p>
      <w:pPr>
        <w:pStyle w:val="Style8"/>
        <w:framePr w:w="1918" w:h="211" w:wrap="none" w:vAnchor="text" w:hAnchor="margin" w:x="7960" w:y="1211"/>
        <w:widowControl w:val="0"/>
        <w:keepNext w:val="0"/>
        <w:keepLines w:val="0"/>
        <w:shd w:val="clear" w:color="auto" w:fill="auto"/>
        <w:bidi w:val="0"/>
        <w:jc w:val="left"/>
        <w:spacing w:before="0" w:after="0" w:line="200" w:lineRule="exact"/>
        <w:ind w:left="100" w:right="0" w:firstLine="0"/>
      </w:pPr>
      <w:r>
        <w:rPr>
          <w:rStyle w:val="CharStyle13"/>
        </w:rPr>
        <w:t>Тохтахунов О.Х.</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4" w:lineRule="exact"/>
      </w:pPr>
    </w:p>
    <w:p>
      <w:pPr>
        <w:widowControl w:val="0"/>
        <w:rPr>
          <w:sz w:val="2"/>
          <w:szCs w:val="2"/>
        </w:rPr>
      </w:pPr>
      <w:r>
        <w:br w:type="page"/>
      </w:r>
    </w:p>
    <w:p>
      <w:pPr>
        <w:widowControl w:val="0"/>
      </w:pPr>
      <w:r>
        <w:br w:type="page"/>
      </w:r>
    </w:p>
    <w:sectPr>
      <w:type w:val="continuous"/>
      <w:pgSz w:w="11906" w:h="16838"/>
      <w:pgMar w:top="687" w:left="759" w:right="759" w:bottom="6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
    <w:basedOn w:val="CharStyle4"/>
    <w:rPr>
      <w:lang w:val="ru-RU" w:eastAsia="ru-RU" w:bidi="ru-RU"/>
      <w:sz w:val="26"/>
      <w:szCs w:val="26"/>
      <w:w w:val="100"/>
      <w:spacing w:val="0"/>
      <w:color w:val="000000"/>
      <w:position w:val="0"/>
    </w:rPr>
  </w:style>
  <w:style w:type="character" w:customStyle="1" w:styleId="CharStyle6">
    <w:name w:val="Основной текст (2) + 9,5 pt,Не полужирный"/>
    <w:basedOn w:val="CharStyle4"/>
    <w:rPr>
      <w:lang w:val="ru-RU" w:eastAsia="ru-RU" w:bidi="ru-RU"/>
      <w:b/>
      <w:bCs/>
      <w:sz w:val="19"/>
      <w:szCs w:val="19"/>
      <w:w w:val="100"/>
      <w:spacing w:val="0"/>
      <w:color w:val="000000"/>
      <w:position w:val="0"/>
    </w:rPr>
  </w:style>
  <w:style w:type="character" w:customStyle="1" w:styleId="CharStyle7">
    <w:name w:val="Основной текст (2) + 9,5 pt,Не полужирный"/>
    <w:basedOn w:val="CharStyle4"/>
    <w:rPr>
      <w:lang w:val="en-US" w:eastAsia="en-US" w:bidi="en-US"/>
      <w:b/>
      <w:bCs/>
      <w:u w:val="single"/>
      <w:sz w:val="19"/>
      <w:szCs w:val="19"/>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 8 pt,Курсив"/>
    <w:basedOn w:val="CharStyle9"/>
    <w:rPr>
      <w:lang w:val="en-US" w:eastAsia="en-US" w:bidi="en-US"/>
      <w:i/>
      <w:iCs/>
      <w:u w:val="single"/>
      <w:sz w:val="16"/>
      <w:szCs w:val="16"/>
      <w:w w:val="100"/>
      <w:spacing w:val="0"/>
      <w:color w:val="000000"/>
      <w:position w:val="0"/>
    </w:rPr>
  </w:style>
  <w:style w:type="character" w:customStyle="1" w:styleId="CharStyle11">
    <w:name w:val="Основной текст + 11,5 pt,Полужирный"/>
    <w:basedOn w:val="CharStyle9"/>
    <w:rPr>
      <w:lang w:val="ru-RU" w:eastAsia="ru-RU" w:bidi="ru-RU"/>
      <w:b/>
      <w:bCs/>
      <w:sz w:val="23"/>
      <w:szCs w:val="23"/>
      <w:w w:val="100"/>
      <w:spacing w:val="0"/>
      <w:color w:val="000000"/>
      <w:position w:val="0"/>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Заголовок №1_"/>
    <w:basedOn w:val="DefaultParagraphFont"/>
    <w:link w:val="Style14"/>
    <w:rPr>
      <w:b/>
      <w:bCs/>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 9,5 pt"/>
    <w:basedOn w:val="CharStyle9"/>
    <w:rPr>
      <w:lang w:val="ru-RU" w:eastAsia="ru-RU" w:bidi="ru-RU"/>
      <w:sz w:val="19"/>
      <w:szCs w:val="19"/>
      <w:w w:val="100"/>
      <w:spacing w:val="0"/>
      <w:color w:val="000000"/>
      <w:position w:val="0"/>
    </w:rPr>
  </w:style>
  <w:style w:type="character" w:customStyle="1" w:styleId="CharStyle17">
    <w:name w:val="Основной текст + 9,5 pt,Полужирный"/>
    <w:basedOn w:val="CharStyle9"/>
    <w:rPr>
      <w:lang w:val="ru-RU" w:eastAsia="ru-RU" w:bidi="ru-RU"/>
      <w:b/>
      <w:bCs/>
      <w:sz w:val="19"/>
      <w:szCs w:val="19"/>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180" w:line="264"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before="1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60" w:after="180" w:line="0"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