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8" w:after="60"/>
        <w:ind w:left="0" w:right="0" w:firstLine="0"/>
      </w:pPr>
      <w:r>
        <w:rPr>
          <w:rStyle w:val="CharStyle5"/>
          <w:b/>
          <w:bCs/>
        </w:rPr>
        <w:t>ФЕДЕРАЛЬНАЯ АНТИМОНОПОЛЬНАЯ СЛУЖБА</w:t>
      </w:r>
    </w:p>
    <w:p>
      <w:pPr>
        <w:pStyle w:val="Style3"/>
        <w:widowControl w:val="0"/>
        <w:keepNext w:val="0"/>
        <w:keepLines w:val="0"/>
        <w:shd w:val="clear" w:color="auto" w:fill="auto"/>
        <w:bidi w:val="0"/>
        <w:spacing w:before="0" w:after="261"/>
        <w:ind w:left="0" w:right="0" w:firstLine="0"/>
      </w:pPr>
      <w:r>
        <w:rPr>
          <w:rStyle w:val="CharStyle5"/>
          <w:b/>
          <w:bCs/>
        </w:rPr>
        <w:t>УПРАВЛЕНИЕ Федеральной антимонопольной службы по Пензенской области</w:t>
      </w:r>
    </w:p>
    <w:p>
      <w:pPr>
        <w:pStyle w:val="Style6"/>
        <w:widowControl w:val="0"/>
        <w:keepNext w:val="0"/>
        <w:keepLines w:val="0"/>
        <w:shd w:val="clear" w:color="auto" w:fill="auto"/>
        <w:bidi w:val="0"/>
        <w:spacing w:before="0" w:after="526"/>
        <w:ind w:left="0" w:right="0" w:firstLine="0"/>
      </w:pPr>
      <w:r>
        <w:rPr>
          <w:rStyle w:val="CharStyle8"/>
        </w:rPr>
        <w:t xml:space="preserve">ул. Урицкого, 127, г. Пенза, 440000 тел. (8412) 55-14-02, факс (8412) 52-03-70 </w:t>
      </w:r>
      <w:r>
        <w:rPr>
          <w:rStyle w:val="CharStyle8"/>
          <w:lang w:val="en-US" w:eastAsia="en-US" w:bidi="en-US"/>
        </w:rPr>
        <w:t>c-mail:to58@fas. gov.ru</w:t>
      </w:r>
    </w:p>
    <w:p>
      <w:pPr>
        <w:pStyle w:val="Style9"/>
        <w:tabs>
          <w:tab w:leader="none" w:pos="2166" w:val="right"/>
        </w:tabs>
        <w:widowControl w:val="0"/>
        <w:keepNext w:val="0"/>
        <w:keepLines w:val="0"/>
        <w:shd w:val="clear" w:color="auto" w:fill="auto"/>
        <w:bidi w:val="0"/>
        <w:spacing w:before="0" w:after="0" w:line="210" w:lineRule="exact"/>
        <w:ind w:left="400" w:right="0" w:firstLine="0"/>
      </w:pPr>
      <w:r>
        <w:rPr>
          <w:rStyle w:val="CharStyle11"/>
        </w:rPr>
        <w:t>На №</w:t>
        <w:tab/>
        <w:t>от</w:t>
      </w:r>
    </w:p>
    <w:p>
      <w:pPr>
        <w:pStyle w:val="Style12"/>
        <w:widowControl w:val="0"/>
        <w:keepNext w:val="0"/>
        <w:keepLines w:val="0"/>
        <w:shd w:val="clear" w:color="auto" w:fill="auto"/>
        <w:bidi w:val="0"/>
        <w:jc w:val="left"/>
        <w:spacing w:before="0" w:after="0"/>
        <w:ind w:left="20" w:right="0" w:firstLine="0"/>
      </w:pPr>
      <w:r>
        <w:rPr>
          <w:lang w:val="ru-RU" w:eastAsia="ru-RU" w:bidi="ru-RU"/>
          <w:w w:val="100"/>
          <w:color w:val="000000"/>
          <w:position w:val="0"/>
        </w:rPr>
        <w:t>Заявитель:</w:t>
      </w:r>
    </w:p>
    <w:p>
      <w:pPr>
        <w:pStyle w:val="Style12"/>
        <w:widowControl w:val="0"/>
        <w:keepNext w:val="0"/>
        <w:keepLines w:val="0"/>
        <w:shd w:val="clear" w:color="auto" w:fill="auto"/>
        <w:bidi w:val="0"/>
        <w:jc w:val="left"/>
        <w:spacing w:before="0" w:after="0"/>
        <w:ind w:left="20" w:right="0" w:firstLine="0"/>
      </w:pPr>
      <w:r>
        <w:rPr>
          <w:lang w:val="ru-RU" w:eastAsia="ru-RU" w:bidi="ru-RU"/>
          <w:w w:val="100"/>
          <w:color w:val="000000"/>
          <w:position w:val="0"/>
        </w:rPr>
        <w:t>ООО «ПРОТЕК! 35»</w:t>
      </w:r>
    </w:p>
    <w:p>
      <w:pPr>
        <w:pStyle w:val="Style12"/>
        <w:widowControl w:val="0"/>
        <w:keepNext w:val="0"/>
        <w:keepLines w:val="0"/>
        <w:shd w:val="clear" w:color="auto" w:fill="auto"/>
        <w:bidi w:val="0"/>
        <w:jc w:val="left"/>
        <w:spacing w:before="0" w:after="0"/>
        <w:ind w:left="20" w:right="0" w:firstLine="0"/>
      </w:pPr>
      <w:r>
        <w:rPr>
          <w:lang w:val="ru-RU" w:eastAsia="ru-RU" w:bidi="ru-RU"/>
          <w:w w:val="100"/>
          <w:color w:val="000000"/>
          <w:position w:val="0"/>
        </w:rPr>
        <w:t>Казакова ул.. д. 2. кв. 108. г. Вологда, 160022</w:t>
      </w:r>
    </w:p>
    <w:p>
      <w:pPr>
        <w:pStyle w:val="Style12"/>
        <w:widowControl w:val="0"/>
        <w:keepNext w:val="0"/>
        <w:keepLines w:val="0"/>
        <w:shd w:val="clear" w:color="auto" w:fill="auto"/>
        <w:bidi w:val="0"/>
        <w:jc w:val="left"/>
        <w:spacing w:before="0" w:after="294"/>
        <w:ind w:left="20" w:right="0" w:firstLine="0"/>
      </w:pPr>
      <w:r>
        <w:rPr>
          <w:rStyle w:val="CharStyle14"/>
          <w:lang w:val="en-US" w:eastAsia="en-US" w:bidi="en-US"/>
        </w:rPr>
        <w:t xml:space="preserve">Proteet35TTmail.ru. </w:t>
      </w:r>
      <w:r>
        <w:fldChar w:fldCharType="begin"/>
      </w:r>
      <w:r>
        <w:rPr>
          <w:rStyle w:val="CharStyle14"/>
        </w:rPr>
        <w:instrText> HYPERLINK "mailto:protect35@yandex.ru" </w:instrText>
      </w:r>
      <w:r>
        <w:fldChar w:fldCharType="separate"/>
      </w:r>
      <w:r>
        <w:rPr>
          <w:rStyle w:val="Hyperlink"/>
          <w:lang w:val="en-US" w:eastAsia="en-US" w:bidi="en-US"/>
        </w:rPr>
        <w:t>protect35@yandex.ru</w:t>
      </w:r>
      <w:r>
        <w:fldChar w:fldCharType="end"/>
      </w:r>
    </w:p>
    <w:p>
      <w:pPr>
        <w:pStyle w:val="Style12"/>
        <w:widowControl w:val="0"/>
        <w:keepNext w:val="0"/>
        <w:keepLines w:val="0"/>
        <w:shd w:val="clear" w:color="auto" w:fill="auto"/>
        <w:bidi w:val="0"/>
        <w:jc w:val="left"/>
        <w:spacing w:before="0" w:after="0" w:line="230" w:lineRule="exact"/>
        <w:ind w:left="20" w:right="0" w:firstLine="0"/>
      </w:pPr>
      <w:r>
        <w:rPr>
          <w:lang w:val="ru-RU" w:eastAsia="ru-RU" w:bidi="ru-RU"/>
          <w:w w:val="100"/>
          <w:color w:val="000000"/>
          <w:position w:val="0"/>
        </w:rPr>
        <w:t>Государственный заказчик:</w:t>
      </w:r>
    </w:p>
    <w:p>
      <w:pPr>
        <w:pStyle w:val="Style12"/>
        <w:widowControl w:val="0"/>
        <w:keepNext w:val="0"/>
        <w:keepLines w:val="0"/>
        <w:shd w:val="clear" w:color="auto" w:fill="auto"/>
        <w:bidi w:val="0"/>
        <w:jc w:val="left"/>
        <w:spacing w:before="0" w:after="0" w:line="302" w:lineRule="exact"/>
        <w:ind w:left="20" w:right="0" w:firstLine="0"/>
      </w:pPr>
      <w:r>
        <w:rPr>
          <w:lang w:val="ru-RU" w:eastAsia="ru-RU" w:bidi="ru-RU"/>
          <w:w w:val="100"/>
          <w:color w:val="000000"/>
          <w:position w:val="0"/>
        </w:rPr>
        <w:t>ФКУ «Федеральное управление автомобильных дорог «Большая Волга» Федерального дорожного агентства»</w:t>
      </w:r>
    </w:p>
    <w:p>
      <w:pPr>
        <w:pStyle w:val="Style12"/>
        <w:widowControl w:val="0"/>
        <w:keepNext w:val="0"/>
        <w:keepLines w:val="0"/>
        <w:shd w:val="clear" w:color="auto" w:fill="auto"/>
        <w:bidi w:val="0"/>
        <w:jc w:val="left"/>
        <w:spacing w:before="0" w:after="236" w:line="288" w:lineRule="exact"/>
        <w:ind w:left="20" w:right="0" w:firstLine="0"/>
      </w:pPr>
      <w:r>
        <w:rPr>
          <w:lang w:val="ru-RU" w:eastAsia="ru-RU" w:bidi="ru-RU"/>
          <w:w w:val="100"/>
          <w:color w:val="000000"/>
          <w:position w:val="0"/>
        </w:rPr>
        <w:t xml:space="preserve">Кураева ул., 1-а, г. Пенза, 440000 </w:t>
      </w:r>
      <w:r>
        <w:rPr>
          <w:rStyle w:val="CharStyle14"/>
          <w:lang w:val="en-US" w:eastAsia="en-US" w:bidi="en-US"/>
        </w:rPr>
        <w:t>»oszakaz.-</w:t>
      </w:r>
      <w:r>
        <w:fldChar w:fldCharType="begin"/>
      </w:r>
      <w:r>
        <w:rPr>
          <w:rStyle w:val="CharStyle14"/>
        </w:rPr>
        <w:instrText> HYPERLINK "mailto:pcnza@mail.ru" </w:instrText>
      </w:r>
      <w:r>
        <w:fldChar w:fldCharType="separate"/>
      </w:r>
      <w:r>
        <w:rPr>
          <w:rStyle w:val="Hyperlink"/>
          <w:lang w:val="en-US" w:eastAsia="en-US" w:bidi="en-US"/>
        </w:rPr>
        <w:t>pcnza@mail.ru</w:t>
      </w:r>
      <w:r>
        <w:fldChar w:fldCharType="end"/>
      </w:r>
    </w:p>
    <w:p>
      <w:pPr>
        <w:pStyle w:val="Style12"/>
        <w:widowControl w:val="0"/>
        <w:keepNext w:val="0"/>
        <w:keepLines w:val="0"/>
        <w:shd w:val="clear" w:color="auto" w:fill="auto"/>
        <w:bidi w:val="0"/>
        <w:jc w:val="left"/>
        <w:spacing w:before="0" w:after="0" w:line="293" w:lineRule="exact"/>
        <w:ind w:left="20" w:right="0" w:firstLine="0"/>
      </w:pPr>
      <w:r>
        <w:rPr>
          <w:lang w:val="ru-RU" w:eastAsia="ru-RU" w:bidi="ru-RU"/>
          <w:w w:val="100"/>
          <w:color w:val="000000"/>
          <w:position w:val="0"/>
        </w:rPr>
        <w:t>Оператор электронной площадки АО «ЕЭТП»</w:t>
      </w:r>
    </w:p>
    <w:p>
      <w:pPr>
        <w:pStyle w:val="Style12"/>
        <w:widowControl w:val="0"/>
        <w:keepNext w:val="0"/>
        <w:keepLines w:val="0"/>
        <w:shd w:val="clear" w:color="auto" w:fill="auto"/>
        <w:bidi w:val="0"/>
        <w:jc w:val="left"/>
        <w:spacing w:before="0" w:after="0" w:line="307" w:lineRule="exact"/>
        <w:ind w:left="20" w:right="0" w:firstLine="0"/>
        <w:sectPr>
          <w:footnotePr>
            <w:pos w:val="pageBottom"/>
            <w:numFmt w:val="decimal"/>
            <w:numRestart w:val="continuous"/>
          </w:footnotePr>
          <w:type w:val="continuous"/>
          <w:pgSz w:w="16838" w:h="23810"/>
          <w:pgMar w:top="4291" w:left="3914" w:right="3348" w:bottom="4291" w:header="0" w:footer="3" w:gutter="0"/>
          <w:rtlGutter w:val="0"/>
          <w:cols w:num="2" w:space="776"/>
          <w:noEndnote/>
          <w:docGrid w:linePitch="360"/>
        </w:sectPr>
      </w:pPr>
      <w:r>
        <w:rPr>
          <w:lang w:val="ru-RU" w:eastAsia="ru-RU" w:bidi="ru-RU"/>
          <w:w w:val="100"/>
          <w:color w:val="000000"/>
          <w:position w:val="0"/>
        </w:rPr>
        <w:t xml:space="preserve">Тесговская ул.. д. 10. г. Москва. 123112 </w:t>
      </w:r>
      <w:r>
        <w:fldChar w:fldCharType="begin"/>
      </w:r>
      <w:r>
        <w:rPr>
          <w:rStyle w:val="CharStyle14"/>
        </w:rPr>
        <w:instrText> HYPERLINK "mailto:auditors@etnz.ru" </w:instrText>
      </w:r>
      <w:r>
        <w:fldChar w:fldCharType="separate"/>
      </w:r>
      <w:r>
        <w:rPr>
          <w:rStyle w:val="Hyperlink"/>
          <w:lang w:val="en-US" w:eastAsia="en-US" w:bidi="en-US"/>
        </w:rPr>
        <w:t>auditors@etnz.ru</w:t>
      </w:r>
      <w:r>
        <w:fldChar w:fldCharType="end"/>
      </w:r>
    </w:p>
    <w:p>
      <w:pPr>
        <w:widowControl w:val="0"/>
        <w:spacing w:line="240" w:lineRule="exact"/>
        <w:rPr>
          <w:sz w:val="19"/>
          <w:szCs w:val="19"/>
        </w:rPr>
      </w:pPr>
    </w:p>
    <w:p>
      <w:pPr>
        <w:widowControl w:val="0"/>
        <w:spacing w:before="64" w:after="64"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5"/>
        <w:widowControl w:val="0"/>
        <w:keepNext w:val="0"/>
        <w:keepLines w:val="0"/>
        <w:shd w:val="clear" w:color="auto" w:fill="auto"/>
        <w:bidi w:val="0"/>
        <w:spacing w:before="0" w:after="534"/>
        <w:ind w:left="20" w:right="0" w:firstLine="0"/>
      </w:pPr>
      <w:r>
        <w:rPr>
          <w:lang w:val="ru-RU" w:eastAsia="ru-RU" w:bidi="ru-RU"/>
          <w:w w:val="100"/>
          <w:color w:val="000000"/>
          <w:position w:val="0"/>
        </w:rPr>
        <w:t>РЕШЕНИЕ по жалобе № 058/06/106-338/2019 о нарушении законодательства Российской Федерации о контрактной системе</w:t>
      </w:r>
    </w:p>
    <w:p>
      <w:pPr>
        <w:pStyle w:val="Style12"/>
        <w:tabs>
          <w:tab w:leader="none" w:pos="7018" w:val="center"/>
          <w:tab w:leader="none" w:pos="7532" w:val="center"/>
          <w:tab w:leader="none" w:pos="8118" w:val="center"/>
          <w:tab w:leader="none" w:pos="8929" w:val="center"/>
          <w:tab w:leader="none" w:pos="9774" w:val="center"/>
        </w:tabs>
        <w:widowControl w:val="0"/>
        <w:keepNext w:val="0"/>
        <w:keepLines w:val="0"/>
        <w:shd w:val="clear" w:color="auto" w:fill="auto"/>
        <w:bidi w:val="0"/>
        <w:jc w:val="both"/>
        <w:spacing w:before="0" w:after="134" w:line="230" w:lineRule="exact"/>
        <w:ind w:left="20" w:right="0" w:firstLine="0"/>
      </w:pPr>
      <w:r>
        <w:rPr>
          <w:lang w:val="ru-RU" w:eastAsia="ru-RU" w:bidi="ru-RU"/>
          <w:w w:val="100"/>
          <w:color w:val="000000"/>
          <w:position w:val="0"/>
        </w:rPr>
        <w:t>20 июня 2019 года</w:t>
        <w:tab/>
        <w:t>г.</w:t>
        <w:tab/>
        <w:t>Пенза,</w:t>
        <w:tab/>
        <w:t>ул.</w:t>
        <w:tab/>
        <w:t>Урицкого.</w:t>
        <w:tab/>
        <w:t>127</w:t>
      </w:r>
    </w:p>
    <w:p>
      <w:pPr>
        <w:pStyle w:val="Style12"/>
        <w:widowControl w:val="0"/>
        <w:keepNext w:val="0"/>
        <w:keepLines w:val="0"/>
        <w:shd w:val="clear" w:color="auto" w:fill="auto"/>
        <w:bidi w:val="0"/>
        <w:jc w:val="both"/>
        <w:spacing w:before="0" w:after="0" w:line="302" w:lineRule="exact"/>
        <w:ind w:left="20" w:right="20" w:firstLine="700"/>
      </w:pPr>
      <w:r>
        <w:rPr>
          <w:lang w:val="ru-RU" w:eastAsia="ru-RU" w:bidi="ru-RU"/>
          <w:w w:val="100"/>
          <w:color w:val="000000"/>
          <w:position w:val="0"/>
        </w:rPr>
        <w:t>Комиссия Пензенского У ФАС России по контролю в сфере закупок (далее - Комиссия Управления) в составе:</w:t>
      </w:r>
    </w:p>
    <w:p>
      <w:pPr>
        <w:pStyle w:val="Style12"/>
        <w:numPr>
          <w:ilvl w:val="0"/>
          <w:numId w:val="1"/>
        </w:numPr>
        <w:widowControl w:val="0"/>
        <w:keepNext w:val="0"/>
        <w:keepLines w:val="0"/>
        <w:shd w:val="clear" w:color="auto" w:fill="auto"/>
        <w:bidi w:val="0"/>
        <w:jc w:val="left"/>
        <w:spacing w:before="0" w:after="0" w:line="302" w:lineRule="exact"/>
        <w:ind w:left="1080" w:right="20" w:hanging="360"/>
      </w:pPr>
      <w:r>
        <w:rPr>
          <w:lang w:val="ru-RU" w:eastAsia="ru-RU" w:bidi="ru-RU"/>
          <w:w w:val="100"/>
          <w:color w:val="000000"/>
          <w:position w:val="0"/>
        </w:rPr>
        <w:t xml:space="preserve"> Казаковой Е.А. - начальника отдела контроля закупок, заместителя председателя Комиссии.</w:t>
      </w:r>
    </w:p>
    <w:p>
      <w:pPr>
        <w:pStyle w:val="Style12"/>
        <w:numPr>
          <w:ilvl w:val="0"/>
          <w:numId w:val="1"/>
        </w:numPr>
        <w:widowControl w:val="0"/>
        <w:keepNext w:val="0"/>
        <w:keepLines w:val="0"/>
        <w:shd w:val="clear" w:color="auto" w:fill="auto"/>
        <w:bidi w:val="0"/>
        <w:jc w:val="left"/>
        <w:spacing w:before="0" w:after="0" w:line="302" w:lineRule="exact"/>
        <w:ind w:left="1080" w:right="20" w:hanging="360"/>
      </w:pPr>
      <w:r>
        <w:rPr>
          <w:lang w:val="ru-RU" w:eastAsia="ru-RU" w:bidi="ru-RU"/>
          <w:w w:val="100"/>
          <w:color w:val="000000"/>
          <w:position w:val="0"/>
        </w:rPr>
        <w:t xml:space="preserve"> Хохловой М.В. - главного сиециалиста-эксперта отдела контроля закупок, члена Комиссии,</w:t>
      </w:r>
    </w:p>
    <w:p>
      <w:pPr>
        <w:pStyle w:val="Style12"/>
        <w:numPr>
          <w:ilvl w:val="0"/>
          <w:numId w:val="1"/>
        </w:numPr>
        <w:widowControl w:val="0"/>
        <w:keepNext w:val="0"/>
        <w:keepLines w:val="0"/>
        <w:shd w:val="clear" w:color="auto" w:fill="auto"/>
        <w:bidi w:val="0"/>
        <w:jc w:val="left"/>
        <w:spacing w:before="0" w:after="0" w:line="302" w:lineRule="exact"/>
        <w:ind w:left="1080" w:right="20" w:hanging="360"/>
      </w:pPr>
      <w:r>
        <w:rPr>
          <w:lang w:val="ru-RU" w:eastAsia="ru-RU" w:bidi="ru-RU"/>
          <w:w w:val="100"/>
          <w:color w:val="000000"/>
          <w:position w:val="0"/>
        </w:rPr>
        <w:t xml:space="preserve"> Пичугиной </w:t>
      </w:r>
      <w:r>
        <w:rPr>
          <w:rStyle w:val="CharStyle17"/>
        </w:rPr>
        <w:t xml:space="preserve">А.А. </w:t>
      </w:r>
      <w:r>
        <w:rPr>
          <w:lang w:val="ru-RU" w:eastAsia="ru-RU" w:bidi="ru-RU"/>
          <w:w w:val="100"/>
          <w:color w:val="000000"/>
          <w:position w:val="0"/>
        </w:rPr>
        <w:t>- ведущего специалиста-эксперта отдела контроля закупок, члена Комиссии,</w:t>
      </w:r>
    </w:p>
    <w:p>
      <w:pPr>
        <w:pStyle w:val="Style12"/>
        <w:widowControl w:val="0"/>
        <w:keepNext w:val="0"/>
        <w:keepLines w:val="0"/>
        <w:shd w:val="clear" w:color="auto" w:fill="auto"/>
        <w:bidi w:val="0"/>
        <w:jc w:val="both"/>
        <w:spacing w:before="0" w:after="0" w:line="302" w:lineRule="exact"/>
        <w:ind w:left="20" w:right="0" w:firstLine="700"/>
      </w:pPr>
      <w:r>
        <w:rPr>
          <w:lang w:val="ru-RU" w:eastAsia="ru-RU" w:bidi="ru-RU"/>
          <w:w w:val="100"/>
          <w:color w:val="000000"/>
          <w:position w:val="0"/>
        </w:rPr>
        <w:t>при участии:</w:t>
      </w:r>
    </w:p>
    <w:p>
      <w:pPr>
        <w:pStyle w:val="Style12"/>
        <w:widowControl w:val="0"/>
        <w:keepNext w:val="0"/>
        <w:keepLines w:val="0"/>
        <w:shd w:val="clear" w:color="auto" w:fill="auto"/>
        <w:bidi w:val="0"/>
        <w:jc w:val="both"/>
        <w:spacing w:before="0" w:after="0" w:line="312" w:lineRule="exact"/>
        <w:ind w:left="20" w:right="20" w:firstLine="700"/>
      </w:pPr>
      <w:r>
        <w:rPr>
          <w:lang w:val="ru-RU" w:eastAsia="ru-RU" w:bidi="ru-RU"/>
          <w:w w:val="100"/>
          <w:color w:val="000000"/>
          <w:position w:val="0"/>
        </w:rPr>
        <w:t>со стороны государственного заказчика - ФКУ «Федеральное управление автомобильных дорог «Большая Волга» Федерального дорожного агентства» (далее - ФКУ «Поволжуправтодор»):</w:t>
      </w:r>
    </w:p>
    <w:p>
      <w:pPr>
        <w:pStyle w:val="Style12"/>
        <w:numPr>
          <w:ilvl w:val="0"/>
          <w:numId w:val="1"/>
        </w:numPr>
        <w:widowControl w:val="0"/>
        <w:keepNext w:val="0"/>
        <w:keepLines w:val="0"/>
        <w:shd w:val="clear" w:color="auto" w:fill="auto"/>
        <w:bidi w:val="0"/>
        <w:jc w:val="both"/>
        <w:spacing w:before="0" w:after="0" w:line="312" w:lineRule="exact"/>
        <w:ind w:left="20" w:right="0" w:firstLine="700"/>
      </w:pPr>
      <w:r>
        <w:rPr>
          <w:lang w:val="ru-RU" w:eastAsia="ru-RU" w:bidi="ru-RU"/>
          <w:w w:val="100"/>
          <w:color w:val="000000"/>
          <w:position w:val="0"/>
        </w:rPr>
        <w:t xml:space="preserve"> Клименко </w:t>
      </w:r>
      <w:r>
        <w:rPr>
          <w:lang w:val="en-US" w:eastAsia="en-US" w:bidi="en-US"/>
          <w:w w:val="100"/>
          <w:color w:val="000000"/>
          <w:position w:val="0"/>
        </w:rPr>
        <w:t xml:space="preserve">J1.A- </w:t>
      </w:r>
      <w:r>
        <w:rPr>
          <w:lang w:val="ru-RU" w:eastAsia="ru-RU" w:bidi="ru-RU"/>
          <w:w w:val="100"/>
          <w:color w:val="000000"/>
          <w:position w:val="0"/>
        </w:rPr>
        <w:t>представителя по доверенности от 09.01.2019 № 17.</w:t>
      </w:r>
    </w:p>
    <w:p>
      <w:pPr>
        <w:pStyle w:val="Style12"/>
        <w:numPr>
          <w:ilvl w:val="0"/>
          <w:numId w:val="1"/>
        </w:numPr>
        <w:widowControl w:val="0"/>
        <w:keepNext w:val="0"/>
        <w:keepLines w:val="0"/>
        <w:shd w:val="clear" w:color="auto" w:fill="auto"/>
        <w:bidi w:val="0"/>
        <w:jc w:val="left"/>
        <w:spacing w:before="0" w:after="0" w:line="302" w:lineRule="exact"/>
        <w:ind w:left="720" w:right="460" w:firstLine="0"/>
      </w:pPr>
      <w:r>
        <w:rPr>
          <w:lang w:val="ru-RU" w:eastAsia="ru-RU" w:bidi="ru-RU"/>
          <w:w w:val="100"/>
          <w:color w:val="000000"/>
          <w:position w:val="0"/>
        </w:rPr>
        <w:t xml:space="preserve"> Тишиной И.Ю. представителя по доверенности от 06.05.2019 № ЮР-277/19, со стороны подателя жалобы - ООО «ПРОТЕКТ 35»:</w:t>
      </w:r>
    </w:p>
    <w:p>
      <w:pPr>
        <w:pStyle w:val="Style12"/>
        <w:numPr>
          <w:ilvl w:val="0"/>
          <w:numId w:val="1"/>
        </w:numPr>
        <w:widowControl w:val="0"/>
        <w:keepNext w:val="0"/>
        <w:keepLines w:val="0"/>
        <w:shd w:val="clear" w:color="auto" w:fill="auto"/>
        <w:bidi w:val="0"/>
        <w:jc w:val="both"/>
        <w:spacing w:before="0" w:after="0" w:line="302" w:lineRule="exact"/>
        <w:ind w:left="20" w:right="0" w:firstLine="700"/>
      </w:pPr>
      <w:r>
        <w:rPr>
          <w:lang w:val="ru-RU" w:eastAsia="ru-RU" w:bidi="ru-RU"/>
          <w:w w:val="100"/>
          <w:color w:val="000000"/>
          <w:position w:val="0"/>
        </w:rPr>
        <w:t xml:space="preserve"> Красноборова В.А. - директора Общества.</w:t>
      </w:r>
    </w:p>
    <w:p>
      <w:pPr>
        <w:pStyle w:val="Style12"/>
        <w:numPr>
          <w:ilvl w:val="0"/>
          <w:numId w:val="1"/>
        </w:numPr>
        <w:widowControl w:val="0"/>
        <w:keepNext w:val="0"/>
        <w:keepLines w:val="0"/>
        <w:shd w:val="clear" w:color="auto" w:fill="auto"/>
        <w:bidi w:val="0"/>
        <w:jc w:val="left"/>
        <w:spacing w:before="0" w:after="0" w:line="293" w:lineRule="exact"/>
        <w:ind w:left="720" w:right="20" w:firstLine="0"/>
      </w:pPr>
      <w:r>
        <w:rPr>
          <w:lang w:val="ru-RU" w:eastAsia="ru-RU" w:bidi="ru-RU"/>
          <w:w w:val="100"/>
          <w:color w:val="000000"/>
          <w:position w:val="0"/>
        </w:rPr>
        <w:t xml:space="preserve"> Пикулина Е.Н. - представителя по доверенности от 01.04.2019 № 2/Д. рассмотрев жалобу общества с ограниченной ответственностью «ПРОТЕКТ 35» на</w:t>
      </w:r>
    </w:p>
    <w:p>
      <w:pPr>
        <w:pStyle w:val="Style12"/>
        <w:widowControl w:val="0"/>
        <w:keepNext w:val="0"/>
        <w:keepLines w:val="0"/>
        <w:shd w:val="clear" w:color="auto" w:fill="auto"/>
        <w:bidi w:val="0"/>
        <w:jc w:val="both"/>
        <w:spacing w:before="0" w:after="170" w:line="293" w:lineRule="exact"/>
        <w:ind w:left="20" w:right="20" w:firstLine="0"/>
      </w:pPr>
      <w:r>
        <w:rPr>
          <w:lang w:val="ru-RU" w:eastAsia="ru-RU" w:bidi="ru-RU"/>
          <w:w w:val="100"/>
          <w:color w:val="000000"/>
          <w:position w:val="0"/>
        </w:rPr>
        <w:t>положения документации при проведении государственным заказчиком - ФКУ «Федеральное управление автомобильных дорог «Большая Волга» Федерального дорожного агентства» электронного аукциона «Выполнение работ пгР</w:t>
      </w:r>
      <w:r>
        <w:rPr>
          <w:lang w:val="ru-RU" w:eastAsia="ru-RU" w:bidi="ru-RU"/>
          <w:vertAlign w:val="superscript"/>
          <w:w w:val="100"/>
          <w:color w:val="000000"/>
          <w:position w:val="0"/>
        </w:rPr>
        <w:t>3</w:t>
      </w:r>
      <w:r>
        <w:rPr>
          <w:lang w:val="ru-RU" w:eastAsia="ru-RU" w:bidi="ru-RU"/>
          <w:w w:val="100"/>
          <w:color w:val="000000"/>
          <w:position w:val="0"/>
        </w:rPr>
        <w:t xml:space="preserve">&amp;?&gt;й0кту «Обслуживание систем сигнализации, видеонаблюдения, инженерно-технических средств (систем) обеспечения транспортной безопасности в Пензенской области» (извещение № 0355100004519000092 опубликовано на сайте </w:t>
      </w:r>
      <w:r>
        <w:fldChar w:fldCharType="begin"/>
      </w:r>
      <w:r>
        <w:rPr>
          <w:color w:val="000000"/>
        </w:rPr>
        <w:instrText> HYPERLINK "http://www.zakupki.gov.ru" </w:instrText>
      </w:r>
      <w:r>
        <w:fldChar w:fldCharType="separate"/>
      </w:r>
      <w:r>
        <w:rPr>
          <w:rStyle w:val="Hyperlink"/>
          <w:lang w:val="en-US" w:eastAsia="en-US" w:bidi="en-US"/>
          <w:w w:val="100"/>
          <w:position w:val="0"/>
        </w:rPr>
        <w:t>www.zakupki.gov.ru</w:t>
      </w:r>
      <w:r>
        <w:fldChar w:fldCharType="end"/>
      </w:r>
      <w:r>
        <w:rPr>
          <w:lang w:val="en-US" w:eastAsia="en-US" w:bidi="en-US"/>
          <w:w w:val="100"/>
          <w:color w:val="000000"/>
          <w:position w:val="0"/>
        </w:rPr>
        <w:t xml:space="preserve"> </w:t>
      </w:r>
      <w:r>
        <w:rPr>
          <w:lang w:val="ru-RU" w:eastAsia="ru-RU" w:bidi="ru-RU"/>
          <w:w w:val="100"/>
          <w:color w:val="000000"/>
          <w:position w:val="0"/>
        </w:rPr>
        <w:t>27.05.2019) (далее - электронный аукцион), руководствуясь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 1.2014 № 727/14</w:t>
      </w:r>
    </w:p>
    <w:p>
      <w:pPr>
        <w:pStyle w:val="Style12"/>
        <w:widowControl w:val="0"/>
        <w:keepNext w:val="0"/>
        <w:keepLines w:val="0"/>
        <w:shd w:val="clear" w:color="auto" w:fill="auto"/>
        <w:bidi w:val="0"/>
        <w:jc w:val="left"/>
        <w:spacing w:before="0" w:after="143" w:line="230" w:lineRule="exact"/>
        <w:ind w:left="4540" w:right="0" w:firstLine="0"/>
      </w:pPr>
      <w:r>
        <w:rPr>
          <w:lang w:val="ru-RU" w:eastAsia="ru-RU" w:bidi="ru-RU"/>
          <w:w w:val="100"/>
          <w:color w:val="000000"/>
          <w:position w:val="0"/>
        </w:rPr>
        <w:t>УСТАНОВИЛА:</w:t>
      </w:r>
    </w:p>
    <w:p>
      <w:pPr>
        <w:pStyle w:val="Style12"/>
        <w:numPr>
          <w:ilvl w:val="0"/>
          <w:numId w:val="3"/>
        </w:numPr>
        <w:widowControl w:val="0"/>
        <w:keepNext w:val="0"/>
        <w:keepLines w:val="0"/>
        <w:shd w:val="clear" w:color="auto" w:fill="auto"/>
        <w:bidi w:val="0"/>
        <w:jc w:val="both"/>
        <w:spacing w:before="0" w:after="0"/>
        <w:ind w:left="20" w:right="20" w:firstLine="720"/>
      </w:pPr>
      <w:r>
        <w:rPr>
          <w:lang w:val="ru-RU" w:eastAsia="ru-RU" w:bidi="ru-RU"/>
          <w:w w:val="100"/>
          <w:color w:val="000000"/>
          <w:position w:val="0"/>
        </w:rPr>
        <w:t xml:space="preserve"> в Пензенское УФАС России поступила жалоба ООО «ПРОТЕКТ 35» па положения документации при проведении государственным заказчиком - ФКУ «Федеральное управление автомобильных дорог «Большая Волга» Федерального дорожного агентства» электронного аукциона «Выполнение работ по объекту «Обслуживание систем сигнализации, видеонаблюдения, инженерно-технических средств (систем) обеспечения транспортной безопасности в Пензенской области» (извещение № 0355100004519000092 опубликовано на сайге </w:t>
      </w:r>
      <w:r>
        <w:fldChar w:fldCharType="begin"/>
      </w:r>
      <w:r>
        <w:rPr>
          <w:color w:val="000000"/>
        </w:rPr>
        <w:instrText> HYPERLINK "http://www.zakupki.gov.ru" </w:instrText>
      </w:r>
      <w:r>
        <w:fldChar w:fldCharType="separate"/>
      </w:r>
      <w:r>
        <w:rPr>
          <w:rStyle w:val="Hyperlink"/>
          <w:lang w:val="en-US" w:eastAsia="en-US" w:bidi="en-US"/>
          <w:w w:val="100"/>
          <w:position w:val="0"/>
        </w:rPr>
        <w:t>www.zakupki.gov.ru</w:t>
      </w:r>
      <w:r>
        <w:fldChar w:fldCharType="end"/>
      </w:r>
      <w:r>
        <w:rPr>
          <w:lang w:val="en-US" w:eastAsia="en-US" w:bidi="en-US"/>
          <w:w w:val="100"/>
          <w:color w:val="000000"/>
          <w:position w:val="0"/>
        </w:rPr>
        <w:t xml:space="preserve"> </w:t>
      </w:r>
      <w:r>
        <w:rPr>
          <w:lang w:val="ru-RU" w:eastAsia="ru-RU" w:bidi="ru-RU"/>
          <w:w w:val="100"/>
          <w:color w:val="000000"/>
          <w:position w:val="0"/>
        </w:rPr>
        <w:t>27.05.2019).</w:t>
      </w:r>
    </w:p>
    <w:p>
      <w:pPr>
        <w:pStyle w:val="Style12"/>
        <w:widowControl w:val="0"/>
        <w:keepNext w:val="0"/>
        <w:keepLines w:val="0"/>
        <w:shd w:val="clear" w:color="auto" w:fill="auto"/>
        <w:bidi w:val="0"/>
        <w:jc w:val="both"/>
        <w:spacing w:before="0" w:after="0"/>
        <w:ind w:left="20" w:right="20" w:firstLine="720"/>
      </w:pPr>
      <w:r>
        <w:rPr>
          <w:lang w:val="ru-RU" w:eastAsia="ru-RU" w:bidi="ru-RU"/>
          <w:w w:val="100"/>
          <w:color w:val="000000"/>
          <w:position w:val="0"/>
        </w:rPr>
        <w:t>По мнению заявителя, документации об электронном аукционе не соответствует требованиям Закона о контрактной системе, а именно, при описании требований к материалам, используемым при выполнении работ, в том числе, по позициям: прокат полосовой тип 1, тип 2, раствор строительный тип 3. дизельное топливо, трубки тип 1, тип 2 и тип 3. трубы стальные тип 4. бетон тяжелый, колодки клеммные, камни бортовые и пр., перечисленное в жалобе, а также, по мнению подателя жалобы, отсутствие проектной документации, размещенной в единой информационной системе также нарушает его нрава.</w:t>
      </w:r>
    </w:p>
    <w:p>
      <w:pPr>
        <w:pStyle w:val="Style12"/>
        <w:widowControl w:val="0"/>
        <w:keepNext w:val="0"/>
        <w:keepLines w:val="0"/>
        <w:shd w:val="clear" w:color="auto" w:fill="auto"/>
        <w:bidi w:val="0"/>
        <w:jc w:val="both"/>
        <w:spacing w:before="0" w:after="0"/>
        <w:ind w:left="20" w:right="20" w:firstLine="720"/>
      </w:pPr>
      <w:r>
        <w:rPr>
          <w:lang w:val="ru-RU" w:eastAsia="ru-RU" w:bidi="ru-RU"/>
          <w:w w:val="100"/>
          <w:color w:val="000000"/>
          <w:position w:val="0"/>
        </w:rPr>
        <w:t>В соответствии с требованиями статьи 106 Закона о контрактной системе жалоба была принята и назначена к рассмотрению на 20.06.2019 в 11:30.</w:t>
      </w:r>
    </w:p>
    <w:p>
      <w:pPr>
        <w:pStyle w:val="Style12"/>
        <w:widowControl w:val="0"/>
        <w:keepNext w:val="0"/>
        <w:keepLines w:val="0"/>
        <w:shd w:val="clear" w:color="auto" w:fill="auto"/>
        <w:bidi w:val="0"/>
        <w:jc w:val="both"/>
        <w:spacing w:before="0" w:after="0"/>
        <w:ind w:left="20" w:right="20" w:firstLine="720"/>
      </w:pPr>
      <w:r>
        <w:rPr>
          <w:lang w:val="ru-RU" w:eastAsia="ru-RU" w:bidi="ru-RU"/>
          <w:w w:val="100"/>
          <w:color w:val="000000"/>
          <w:position w:val="0"/>
        </w:rPr>
        <w:t>При рассмотрении жалобы представители подателя жалобы поддержали доводы, изложенные в жалобе.</w:t>
      </w:r>
    </w:p>
    <w:p>
      <w:pPr>
        <w:pStyle w:val="Style12"/>
        <w:widowControl w:val="0"/>
        <w:keepNext w:val="0"/>
        <w:keepLines w:val="0"/>
        <w:shd w:val="clear" w:color="auto" w:fill="auto"/>
        <w:bidi w:val="0"/>
        <w:jc w:val="both"/>
        <w:spacing w:before="0" w:after="0"/>
        <w:ind w:left="20" w:right="20" w:firstLine="720"/>
      </w:pPr>
      <w:r>
        <w:rPr>
          <w:lang w:val="ru-RU" w:eastAsia="ru-RU" w:bidi="ru-RU"/>
          <w:w w:val="100"/>
          <w:color w:val="000000"/>
          <w:position w:val="0"/>
        </w:rPr>
        <w:t>Представители государственного заказчика с доводами жалобы не согласились но основаниям, изложенным в отзыве на жалобу от 19.06.2019 № 5/204. считают жалобу необоснованной и не подлежащей удовлетворению.</w:t>
      </w:r>
    </w:p>
    <w:p>
      <w:pPr>
        <w:pStyle w:val="Style12"/>
        <w:widowControl w:val="0"/>
        <w:keepNext w:val="0"/>
        <w:keepLines w:val="0"/>
        <w:shd w:val="clear" w:color="auto" w:fill="auto"/>
        <w:bidi w:val="0"/>
        <w:jc w:val="both"/>
        <w:spacing w:before="0" w:after="0"/>
        <w:ind w:left="20" w:right="20" w:firstLine="720"/>
      </w:pPr>
      <w:r>
        <w:rPr>
          <w:lang w:val="ru-RU" w:eastAsia="ru-RU" w:bidi="ru-RU"/>
          <w:w w:val="100"/>
          <w:color w:val="000000"/>
          <w:position w:val="0"/>
        </w:rPr>
        <w:t>При рассмотрении жалобы Комиссией Управления был объявлен перерыв в рассмотрении для изучения и дополнительного анализа материалов по жалобе до 20.06.2019 до 17.00. после чего рассмотрение жалобы было продолжено.</w:t>
      </w:r>
    </w:p>
    <w:p>
      <w:pPr>
        <w:pStyle w:val="Style12"/>
        <w:widowControl w:val="0"/>
        <w:keepNext w:val="0"/>
        <w:keepLines w:val="0"/>
        <w:shd w:val="clear" w:color="auto" w:fill="auto"/>
        <w:bidi w:val="0"/>
        <w:jc w:val="both"/>
        <w:spacing w:before="0" w:after="0"/>
        <w:ind w:left="20" w:right="20" w:firstLine="720"/>
      </w:pPr>
      <w:r>
        <w:rPr>
          <w:lang w:val="ru-RU" w:eastAsia="ru-RU" w:bidi="ru-RU"/>
          <w:w w:val="100"/>
          <w:color w:val="000000"/>
          <w:position w:val="0"/>
        </w:rPr>
        <w:t>В результате рассмотрения жалобы и осуществления в соответствии с частью 15 статьи 99 Закона контрактной системы внеплановой проверки. Комиссия Управления установила следующее.</w:t>
      </w:r>
    </w:p>
    <w:p>
      <w:pPr>
        <w:pStyle w:val="Style12"/>
        <w:numPr>
          <w:ilvl w:val="0"/>
          <w:numId w:val="5"/>
        </w:numPr>
        <w:widowControl w:val="0"/>
        <w:keepNext w:val="0"/>
        <w:keepLines w:val="0"/>
        <w:shd w:val="clear" w:color="auto" w:fill="auto"/>
        <w:bidi w:val="0"/>
        <w:jc w:val="both"/>
        <w:spacing w:before="0" w:after="0"/>
        <w:ind w:left="20" w:right="20" w:firstLine="720"/>
      </w:pPr>
      <w:r>
        <w:rPr>
          <w:lang w:val="ru-RU" w:eastAsia="ru-RU" w:bidi="ru-RU"/>
          <w:w w:val="100"/>
          <w:color w:val="000000"/>
          <w:position w:val="0"/>
        </w:rPr>
        <w:t xml:space="preserve"> государственным заказчиком ФКУ «Поволжунравтодор» на официальном сайте </w:t>
      </w:r>
      <w:r>
        <w:fldChar w:fldCharType="begin"/>
      </w:r>
      <w:r>
        <w:rPr>
          <w:rStyle w:val="CharStyle14"/>
        </w:rPr>
        <w:instrText> HYPERLINK "http://www.zakupki.uov.ru" </w:instrText>
      </w:r>
      <w:r>
        <w:fldChar w:fldCharType="separate"/>
      </w:r>
      <w:r>
        <w:rPr>
          <w:rStyle w:val="Hyperlink"/>
          <w:lang w:val="en-US" w:eastAsia="en-US" w:bidi="en-US"/>
        </w:rPr>
        <w:t>www.zakupki.uov.ru</w:t>
      </w:r>
      <w:r>
        <w:fldChar w:fldCharType="end"/>
      </w:r>
      <w:r>
        <w:rPr>
          <w:lang w:val="en-US" w:eastAsia="en-US" w:bidi="en-US"/>
          <w:w w:val="100"/>
          <w:color w:val="000000"/>
          <w:position w:val="0"/>
        </w:rPr>
        <w:t xml:space="preserve"> </w:t>
      </w:r>
      <w:r>
        <w:rPr>
          <w:lang w:val="ru-RU" w:eastAsia="ru-RU" w:bidi="ru-RU"/>
          <w:w w:val="100"/>
          <w:color w:val="000000"/>
          <w:position w:val="0"/>
        </w:rPr>
        <w:t>было опубликовано извещение № 0355100004519000092 и документация об электронном аукционе «Выполнение работ по объекту «Обслуживание систем сигнализации, видеонаблюдения, инженерно-технических средств (систем) обеспечения транспортной безопасности в Пензенской области».</w:t>
      </w:r>
    </w:p>
    <w:p>
      <w:pPr>
        <w:pStyle w:val="Style12"/>
        <w:widowControl w:val="0"/>
        <w:keepNext w:val="0"/>
        <w:keepLines w:val="0"/>
        <w:shd w:val="clear" w:color="auto" w:fill="auto"/>
        <w:bidi w:val="0"/>
        <w:jc w:val="both"/>
        <w:spacing w:before="0" w:after="0"/>
        <w:ind w:left="20" w:right="0" w:firstLine="720"/>
      </w:pPr>
      <w:r>
        <w:rPr>
          <w:lang w:val="ru-RU" w:eastAsia="ru-RU" w:bidi="ru-RU"/>
          <w:w w:val="100"/>
          <w:color w:val="000000"/>
          <w:position w:val="0"/>
        </w:rPr>
        <w:t>Начальная (максимальная) цена контракта составляет 8 878 448.00 рублей.</w:t>
      </w:r>
    </w:p>
    <w:p>
      <w:pPr>
        <w:pStyle w:val="Style12"/>
        <w:widowControl w:val="0"/>
        <w:keepNext w:val="0"/>
        <w:keepLines w:val="0"/>
        <w:shd w:val="clear" w:color="auto" w:fill="auto"/>
        <w:bidi w:val="0"/>
        <w:jc w:val="both"/>
        <w:spacing w:before="0" w:after="0"/>
        <w:ind w:left="20" w:right="0" w:firstLine="700"/>
      </w:pPr>
      <w:r>
        <w:rPr>
          <w:lang w:val="ru-RU" w:eastAsia="ru-RU" w:bidi="ru-RU"/>
          <w:w w:val="100"/>
          <w:color w:val="000000"/>
          <w:position w:val="0"/>
        </w:rPr>
        <w:t>Дата и время окончания подачи заявок - 13.06.2019 08:00:</w:t>
      </w:r>
    </w:p>
    <w:p>
      <w:pPr>
        <w:pStyle w:val="Style12"/>
        <w:widowControl w:val="0"/>
        <w:keepNext w:val="0"/>
        <w:keepLines w:val="0"/>
        <w:shd w:val="clear" w:color="auto" w:fill="auto"/>
        <w:bidi w:val="0"/>
        <w:jc w:val="both"/>
        <w:spacing w:before="0" w:after="0"/>
        <w:ind w:left="20" w:right="0" w:firstLine="700"/>
      </w:pPr>
      <w:r>
        <w:rPr>
          <w:lang w:val="ru-RU" w:eastAsia="ru-RU" w:bidi="ru-RU"/>
          <w:w w:val="100"/>
          <w:color w:val="000000"/>
          <w:position w:val="0"/>
        </w:rPr>
        <w:t>Дата окончания срока рассмотрения первых частей заявок участников — 14.06.2019;</w:t>
      </w:r>
    </w:p>
    <w:p>
      <w:pPr>
        <w:pStyle w:val="Style12"/>
        <w:widowControl w:val="0"/>
        <w:keepNext w:val="0"/>
        <w:keepLines w:val="0"/>
        <w:shd w:val="clear" w:color="auto" w:fill="auto"/>
        <w:bidi w:val="0"/>
        <w:jc w:val="both"/>
        <w:spacing w:before="0" w:after="0"/>
        <w:ind w:left="20" w:right="0" w:firstLine="700"/>
      </w:pPr>
      <w:r>
        <w:rPr>
          <w:lang w:val="ru-RU" w:eastAsia="ru-RU" w:bidi="ru-RU"/>
          <w:w w:val="100"/>
          <w:color w:val="000000"/>
          <w:position w:val="0"/>
        </w:rPr>
        <w:t>Дата проведения аукциона в электронной форме - 17.06.2019;</w:t>
      </w:r>
    </w:p>
    <w:p>
      <w:pPr>
        <w:pStyle w:val="Style12"/>
        <w:widowControl w:val="0"/>
        <w:keepNext w:val="0"/>
        <w:keepLines w:val="0"/>
        <w:shd w:val="clear" w:color="auto" w:fill="auto"/>
        <w:bidi w:val="0"/>
        <w:jc w:val="both"/>
        <w:spacing w:before="0" w:after="0"/>
        <w:ind w:left="20" w:right="0" w:firstLine="700"/>
      </w:pPr>
      <w:r>
        <w:rPr>
          <w:lang w:val="ru-RU" w:eastAsia="ru-RU" w:bidi="ru-RU"/>
          <w:w w:val="100"/>
          <w:color w:val="000000"/>
          <w:position w:val="0"/>
        </w:rPr>
        <w:t>Идентификационный код закупки (ИКЗ) 191583601069958360100100271088020244,</w:t>
      </w:r>
    </w:p>
    <w:p>
      <w:pPr>
        <w:pStyle w:val="Style12"/>
        <w:widowControl w:val="0"/>
        <w:keepNext w:val="0"/>
        <w:keepLines w:val="0"/>
        <w:shd w:val="clear" w:color="auto" w:fill="auto"/>
        <w:bidi w:val="0"/>
        <w:jc w:val="both"/>
        <w:spacing w:before="0" w:after="0"/>
        <w:ind w:left="20" w:right="0" w:firstLine="700"/>
      </w:pPr>
      <w:r>
        <w:rPr>
          <w:lang w:val="ru-RU" w:eastAsia="ru-RU" w:bidi="ru-RU"/>
          <w:w w:val="100"/>
          <w:color w:val="000000"/>
          <w:position w:val="0"/>
        </w:rPr>
        <w:t>КБК 10804092420190059244/</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Согласно части 1 статьи 59 Закона о контрактной системе под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Согласно пунктам 1. 2 части 1 статьи 33 Закона о контрактной системе заказчик при описании в документации о закупке объекта закупки должен руководствоваться, в том числе, следующими правилами:</w:t>
      </w:r>
    </w:p>
    <w:p>
      <w:pPr>
        <w:pStyle w:val="Style12"/>
        <w:numPr>
          <w:ilvl w:val="0"/>
          <w:numId w:val="7"/>
        </w:numPr>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2"/>
        <w:numPr>
          <w:ilvl w:val="0"/>
          <w:numId w:val="7"/>
        </w:numPr>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законодазсльством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Частью 2 статьи 33 Закона о контрактной системе определено,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Согласно пункту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па участие в таком аукционе в соответствии с частями 3-6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В соответствии с письмом ФАС России от 01.07.2016 № ИА/44536/16 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 в которой, по мнению ФАС России, целесообразно:</w:t>
      </w:r>
    </w:p>
    <w:p>
      <w:pPr>
        <w:pStyle w:val="Style12"/>
        <w:numPr>
          <w:ilvl w:val="0"/>
          <w:numId w:val="9"/>
        </w:numPr>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 xml:space="preserve"> указать на раздел и (или) пункт документации о закупке, в котором содержатся показатели, предусмотренные частью 2 статьи 33 Закона о контрактной системе, в отношении которых участники закупки делают предложение в своих заявках;</w:t>
      </w:r>
    </w:p>
    <w:p>
      <w:pPr>
        <w:pStyle w:val="Style12"/>
        <w:numPr>
          <w:ilvl w:val="0"/>
          <w:numId w:val="9"/>
        </w:numPr>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 xml:space="preserve">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pPr>
        <w:pStyle w:val="Style12"/>
        <w:numPr>
          <w:ilvl w:val="0"/>
          <w:numId w:val="9"/>
        </w:numPr>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 xml:space="preserve">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pPr>
        <w:pStyle w:val="Style12"/>
        <w:numPr>
          <w:ilvl w:val="0"/>
          <w:numId w:val="9"/>
        </w:numPr>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 xml:space="preserve">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Также в указанном письме определено, что в случае установления заказчиком в документации, извещении о закупке требований об одновременном соответствии предлагаемых участниками показателей товара как значениям, предусмотренным Стандартом, так и значениям, указанным в документации, извещении о закупке, последние не должны противоречить требованиям Стандарта, а также не должны вводить участников закупки в заблуждение и позволять указать в заявке противоречащие положениям Стандарта показатели и (или) их значения.</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Так. например, если показатель в Стандарте определен любым допустимым значением от 10 до 20 единиц, то значения, содержащиеся в документации, извещении о закупке и в отношении которых участники закупки делают свое предложение, не должны:</w:t>
      </w:r>
    </w:p>
    <w:p>
      <w:pPr>
        <w:pStyle w:val="Style12"/>
        <w:numPr>
          <w:ilvl w:val="0"/>
          <w:numId w:val="11"/>
        </w:numPr>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 xml:space="preserve"> позволять участникам закупки указать в своих заявках значения, которые противоречат требованиям Стандарта, например значение - 5 единиц:</w:t>
      </w:r>
    </w:p>
    <w:p>
      <w:pPr>
        <w:pStyle w:val="Style12"/>
        <w:numPr>
          <w:ilvl w:val="0"/>
          <w:numId w:val="11"/>
        </w:numPr>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 xml:space="preserve"> вводить участников закупки в заблуждение, предусматривая в документации значения, например от 10 до 30 единиц, которые впоследствии могут </w:t>
      </w:r>
      <w:r>
        <w:rPr>
          <w:rStyle w:val="CharStyle18"/>
        </w:rPr>
        <w:t xml:space="preserve">рассматриваться </w:t>
      </w:r>
      <w:r>
        <w:rPr>
          <w:lang w:val="ru-RU" w:eastAsia="ru-RU" w:bidi="ru-RU"/>
          <w:w w:val="100"/>
          <w:color w:val="000000"/>
          <w:position w:val="0"/>
        </w:rPr>
        <w:t>комиссией заказчика по осуществлению закупок, как соответствующие значениям документации, извещения о проведении закупки, но в свою очередь противоречащие требованиям Стандарта, что повлечет отклонение заявки участника закупки.</w:t>
      </w:r>
    </w:p>
    <w:p>
      <w:pPr>
        <w:pStyle w:val="Style12"/>
        <w:widowControl w:val="0"/>
        <w:keepNext w:val="0"/>
        <w:keepLines w:val="0"/>
        <w:shd w:val="clear" w:color="auto" w:fill="auto"/>
        <w:bidi w:val="0"/>
        <w:jc w:val="both"/>
        <w:spacing w:before="0" w:after="0"/>
        <w:ind w:left="20" w:right="20" w:firstLine="700"/>
      </w:pPr>
      <w:r>
        <w:rPr>
          <w:rStyle w:val="CharStyle18"/>
        </w:rPr>
        <w:t xml:space="preserve">Кроме того, в настоящем письме ФАС России установлено, что при установлении </w:t>
      </w:r>
      <w:r>
        <w:rPr>
          <w:lang w:val="ru-RU" w:eastAsia="ru-RU" w:bidi="ru-RU"/>
          <w:w w:val="100"/>
          <w:color w:val="000000"/>
          <w:position w:val="0"/>
        </w:rPr>
        <w:t>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связи с чем требования заказчика подробно описать в заявке (путем 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 xml:space="preserve">В соответствии с извещением о проведении электронного аукциона, а также пунктом 2.1.1 документации об электронном аукционе наименование объекта закупки: </w:t>
      </w:r>
      <w:r>
        <w:rPr>
          <w:rStyle w:val="CharStyle14"/>
        </w:rPr>
        <w:t>обслуживание</w:t>
      </w:r>
      <w:r>
        <w:rPr>
          <w:lang w:val="ru-RU" w:eastAsia="ru-RU" w:bidi="ru-RU"/>
          <w:w w:val="100"/>
          <w:color w:val="000000"/>
          <w:position w:val="0"/>
        </w:rPr>
        <w:t xml:space="preserve"> </w:t>
      </w:r>
      <w:r>
        <w:rPr>
          <w:rStyle w:val="CharStyle14"/>
        </w:rPr>
        <w:t>систем сигнализации, видеонаблюдения, инженерно-технических средств (систем)</w:t>
      </w:r>
      <w:r>
        <w:rPr>
          <w:lang w:val="ru-RU" w:eastAsia="ru-RU" w:bidi="ru-RU"/>
          <w:w w:val="100"/>
          <w:color w:val="000000"/>
          <w:position w:val="0"/>
        </w:rPr>
        <w:t xml:space="preserve"> </w:t>
      </w:r>
      <w:r>
        <w:rPr>
          <w:rStyle w:val="CharStyle14"/>
        </w:rPr>
        <w:t>обеспечения транспортной безопасности в Пензенской области</w:t>
      </w:r>
      <w:r>
        <w:rPr>
          <w:lang w:val="ru-RU" w:eastAsia="ru-RU" w:bidi="ru-RU"/>
          <w:w w:val="100"/>
          <w:color w:val="000000"/>
          <w:position w:val="0"/>
        </w:rPr>
        <w:t>.</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В пункте 2.1.2 документации об электронном аукционе, а также в Приложении № 1 к проекту государственного контракта поименованы объекты, на которых предполагается оказание услуг по обслуживанию систем сигнализации, видеонаблюдения, инженерно- технических средств (систем) обеспечения транспортной безопасности.</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 xml:space="preserve">Приложением № 2 к проекту государственного контракта определено </w:t>
      </w:r>
      <w:r>
        <w:rPr>
          <w:rStyle w:val="CharStyle14"/>
        </w:rPr>
        <w:t>Техническое</w:t>
      </w:r>
      <w:r>
        <w:rPr>
          <w:lang w:val="ru-RU" w:eastAsia="ru-RU" w:bidi="ru-RU"/>
          <w:w w:val="100"/>
          <w:color w:val="000000"/>
          <w:position w:val="0"/>
        </w:rPr>
        <w:t xml:space="preserve"> </w:t>
      </w:r>
      <w:r>
        <w:rPr>
          <w:rStyle w:val="CharStyle14"/>
        </w:rPr>
        <w:t>задание на обслуживание систем сигнализации, видеонаблюдения, инженерно-технических</w:t>
      </w:r>
      <w:r>
        <w:rPr>
          <w:lang w:val="ru-RU" w:eastAsia="ru-RU" w:bidi="ru-RU"/>
          <w:w w:val="100"/>
          <w:color w:val="000000"/>
          <w:position w:val="0"/>
        </w:rPr>
        <w:t xml:space="preserve"> </w:t>
      </w:r>
      <w:r>
        <w:rPr>
          <w:rStyle w:val="CharStyle14"/>
        </w:rPr>
        <w:t>средств (систем) обеспечения транспортной безопасности в Рязанской области</w:t>
      </w:r>
      <w:r>
        <w:rPr>
          <w:lang w:val="ru-RU" w:eastAsia="ru-RU" w:bidi="ru-RU"/>
          <w:w w:val="100"/>
          <w:color w:val="000000"/>
          <w:position w:val="0"/>
        </w:rPr>
        <w:t>, в котором содержится, в том числе, подробное описание объекта закупки.</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 xml:space="preserve">В соответствии с Техническим заданием </w:t>
      </w:r>
      <w:r>
        <w:rPr>
          <w:rStyle w:val="CharStyle14"/>
        </w:rPr>
        <w:t xml:space="preserve">целью оказания </w:t>
      </w:r>
      <w:r>
        <w:rPr>
          <w:rStyle w:val="CharStyle19"/>
        </w:rPr>
        <w:t>услуг</w:t>
      </w:r>
      <w:r>
        <w:rPr>
          <w:rStyle w:val="CharStyle20"/>
        </w:rPr>
        <w:t xml:space="preserve"> в </w:t>
      </w:r>
      <w:r>
        <w:rPr>
          <w:lang w:val="ru-RU" w:eastAsia="ru-RU" w:bidi="ru-RU"/>
          <w:w w:val="100"/>
          <w:color w:val="000000"/>
          <w:position w:val="0"/>
        </w:rPr>
        <w:t>рамках электронного аукциона является поддержание в исправном, работоспособном состоянии систем сигнализации, видеонаблюдения, инженерно-технических средств (систем) обеспечения транспортной безопасности (ИТСОТБ). Обеспечение непрерывного, круглогодичного, круглосуточного, бесперебойного функционирования ИТСОТБ.</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 xml:space="preserve">Также Техническим заданием определены </w:t>
      </w:r>
      <w:r>
        <w:rPr>
          <w:rStyle w:val="CharStyle14"/>
        </w:rPr>
        <w:t xml:space="preserve">виды </w:t>
      </w:r>
      <w:r>
        <w:rPr>
          <w:rStyle w:val="CharStyle19"/>
        </w:rPr>
        <w:t>услуг</w:t>
      </w:r>
      <w:r>
        <w:rPr>
          <w:rStyle w:val="CharStyle20"/>
        </w:rPr>
        <w:t xml:space="preserve"> </w:t>
      </w:r>
      <w:r>
        <w:rPr>
          <w:lang w:val="ru-RU" w:eastAsia="ru-RU" w:bidi="ru-RU"/>
          <w:w w:val="100"/>
          <w:color w:val="000000"/>
          <w:position w:val="0"/>
        </w:rPr>
        <w:t>по техническому обслуживанию ИТСОТБ ОТИ: Инженерные сооружения обеспечения транспортной безопасности; Система сбора и обработки информации: Система телевизионного наблюдения; Система пожарно-охранной сигнализации; Система контроля управления доступом; Система передачи данных и извещений; Система связи и оповещения; Система электропитания и охранного освещения. Интерьеры.</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Техническим заданием определены общие требования к оказанию услуг, а именно оказание услуг по обслуживанию осуществлять в соответствии с требованиями Контракта. Технического задания, Регламента технического обслуживания. Уровня требований к качеству услуг по обслуживанию ИТСОТБ. графика выполнения услуг по обслуживанию ИТСОТБ ОТИ, Проекта производства работ.</w:t>
      </w:r>
    </w:p>
    <w:p>
      <w:pPr>
        <w:pStyle w:val="Style12"/>
        <w:widowControl w:val="0"/>
        <w:keepNext w:val="0"/>
        <w:keepLines w:val="0"/>
        <w:shd w:val="clear" w:color="auto" w:fill="auto"/>
        <w:bidi w:val="0"/>
        <w:jc w:val="both"/>
        <w:spacing w:before="0" w:after="0"/>
        <w:ind w:left="20" w:right="0" w:firstLine="700"/>
      </w:pPr>
      <w:r>
        <w:rPr>
          <w:lang w:val="ru-RU" w:eastAsia="ru-RU" w:bidi="ru-RU"/>
          <w:w w:val="100"/>
          <w:color w:val="000000"/>
          <w:position w:val="0"/>
        </w:rPr>
        <w:t>Обслуживание должно включать в себя:</w:t>
      </w:r>
    </w:p>
    <w:p>
      <w:pPr>
        <w:pStyle w:val="Style12"/>
        <w:numPr>
          <w:ilvl w:val="0"/>
          <w:numId w:val="1"/>
        </w:numPr>
        <w:widowControl w:val="0"/>
        <w:keepNext w:val="0"/>
        <w:keepLines w:val="0"/>
        <w:shd w:val="clear" w:color="auto" w:fill="auto"/>
        <w:bidi w:val="0"/>
        <w:jc w:val="both"/>
        <w:spacing w:before="0" w:after="0" w:line="302" w:lineRule="exact"/>
        <w:ind w:left="380" w:right="20" w:hanging="360"/>
      </w:pPr>
      <w:r>
        <w:rPr>
          <w:lang w:val="ru-RU" w:eastAsia="ru-RU" w:bidi="ru-RU"/>
          <w:w w:val="100"/>
          <w:color w:val="000000"/>
          <w:position w:val="0"/>
        </w:rPr>
        <w:t xml:space="preserve"> еженедельное, ежемесячное, ежеквартальное и полугодовое техническое обслуживание аппаратуры и технических средств, кабельного хозяйства, линий энергоснабжения, устройств, оборудования энергоснабжения объекта;</w:t>
      </w:r>
    </w:p>
    <w:p>
      <w:pPr>
        <w:pStyle w:val="Style12"/>
        <w:numPr>
          <w:ilvl w:val="0"/>
          <w:numId w:val="1"/>
        </w:numPr>
        <w:widowControl w:val="0"/>
        <w:keepNext w:val="0"/>
        <w:keepLines w:val="0"/>
        <w:shd w:val="clear" w:color="auto" w:fill="auto"/>
        <w:bidi w:val="0"/>
        <w:jc w:val="both"/>
        <w:spacing w:before="0" w:after="0" w:line="302" w:lineRule="exact"/>
        <w:ind w:left="380" w:right="20" w:hanging="360"/>
      </w:pPr>
      <w:r>
        <w:rPr>
          <w:lang w:val="ru-RU" w:eastAsia="ru-RU" w:bidi="ru-RU"/>
          <w:w w:val="100"/>
          <w:color w:val="000000"/>
          <w:position w:val="0"/>
        </w:rPr>
        <w:t xml:space="preserve"> восстановление работоспособности технических средств, кабельного хозяйства, линий энергоснабжения, устройств, оборудования энергоснабжения объекта в случае выхода из строя</w:t>
      </w:r>
    </w:p>
    <w:p>
      <w:pPr>
        <w:pStyle w:val="Style12"/>
        <w:numPr>
          <w:ilvl w:val="0"/>
          <w:numId w:val="1"/>
        </w:numPr>
        <w:widowControl w:val="0"/>
        <w:keepNext w:val="0"/>
        <w:keepLines w:val="0"/>
        <w:shd w:val="clear" w:color="auto" w:fill="auto"/>
        <w:bidi w:val="0"/>
        <w:jc w:val="both"/>
        <w:spacing w:before="0" w:after="0" w:line="302" w:lineRule="exact"/>
        <w:ind w:left="380" w:right="0" w:hanging="360"/>
      </w:pPr>
      <w:r>
        <w:rPr>
          <w:lang w:val="ru-RU" w:eastAsia="ru-RU" w:bidi="ru-RU"/>
          <w:w w:val="100"/>
          <w:color w:val="000000"/>
          <w:position w:val="0"/>
        </w:rPr>
        <w:t xml:space="preserve"> сопровождение прикладного программного обеспечения;</w:t>
      </w:r>
    </w:p>
    <w:p>
      <w:pPr>
        <w:pStyle w:val="Style12"/>
        <w:numPr>
          <w:ilvl w:val="0"/>
          <w:numId w:val="1"/>
        </w:numPr>
        <w:widowControl w:val="0"/>
        <w:keepNext w:val="0"/>
        <w:keepLines w:val="0"/>
        <w:shd w:val="clear" w:color="auto" w:fill="auto"/>
        <w:bidi w:val="0"/>
        <w:jc w:val="both"/>
        <w:spacing w:before="0" w:after="0" w:line="302" w:lineRule="exact"/>
        <w:ind w:left="380" w:right="0" w:hanging="360"/>
      </w:pPr>
      <w:r>
        <w:rPr>
          <w:lang w:val="ru-RU" w:eastAsia="ru-RU" w:bidi="ru-RU"/>
          <w:w w:val="100"/>
          <w:color w:val="000000"/>
          <w:position w:val="0"/>
        </w:rPr>
        <w:t xml:space="preserve"> ведение технической документации.</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Также заказчиком в Техническом задании определены последовательность оказываемых услуг и подробный перечень услуг.</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Приложение № 3 к проекту государственного контракта содержит регламент на обслуживание систем сигнализации, видеонаблюдения, инженерно-технических средств (систем) обеспечения транспортной безопасности.</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 xml:space="preserve">В Приложении № 6 к проекту государственного контракта заказчиком определен </w:t>
      </w:r>
      <w:r>
        <w:rPr>
          <w:rStyle w:val="CharStyle14"/>
        </w:rPr>
        <w:t>Перечень оборудования</w:t>
      </w:r>
      <w:r>
        <w:rPr>
          <w:lang w:val="ru-RU" w:eastAsia="ru-RU" w:bidi="ru-RU"/>
          <w:w w:val="100"/>
          <w:color w:val="000000"/>
          <w:position w:val="0"/>
        </w:rPr>
        <w:t xml:space="preserve"> инженерно-технических средств (систем) и программного обеспечения, подлежащего техническому обслуживанию.</w:t>
      </w:r>
    </w:p>
    <w:p>
      <w:pPr>
        <w:pStyle w:val="Style12"/>
        <w:widowControl w:val="0"/>
        <w:keepNext w:val="0"/>
        <w:keepLines w:val="0"/>
        <w:shd w:val="clear" w:color="auto" w:fill="auto"/>
        <w:bidi w:val="0"/>
        <w:jc w:val="both"/>
        <w:spacing w:before="0" w:after="0" w:line="322" w:lineRule="exact"/>
        <w:ind w:left="20" w:right="20" w:firstLine="700"/>
      </w:pPr>
      <w:r>
        <w:rPr>
          <w:lang w:val="ru-RU" w:eastAsia="ru-RU" w:bidi="ru-RU"/>
          <w:w w:val="100"/>
          <w:color w:val="000000"/>
          <w:position w:val="0"/>
        </w:rPr>
        <w:t>В соответствии с частью 3 статьи 66 Закона о контрактной системе первая часть заявки на участие в электронном аукционе должна содержать:</w:t>
      </w:r>
    </w:p>
    <w:p>
      <w:pPr>
        <w:pStyle w:val="Style12"/>
        <w:numPr>
          <w:ilvl w:val="0"/>
          <w:numId w:val="13"/>
        </w:numPr>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12"/>
        <w:numPr>
          <w:ilvl w:val="0"/>
          <w:numId w:val="13"/>
        </w:numPr>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 xml:space="preserve"> при осуществлении закупки товара или закупки работы, услуги, для выполнения, оказания которых используется товар:</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а)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статьей 14 настоящего Федерального закона);</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Аналогичные требования установлены в пункте 7.2.1 документации об электронном аукционе.</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В пункте 7.3 документации об электронном аукционе содержится инструкция но заполнению заявок на участие в электронном аукционе, согласно которой, в том числе:</w:t>
      </w:r>
    </w:p>
    <w:p>
      <w:pPr>
        <w:pStyle w:val="Style12"/>
        <w:numPr>
          <w:ilvl w:val="0"/>
          <w:numId w:val="15"/>
        </w:numPr>
        <w:widowControl w:val="0"/>
        <w:keepNext w:val="0"/>
        <w:keepLines w:val="0"/>
        <w:shd w:val="clear" w:color="auto" w:fill="auto"/>
        <w:bidi w:val="0"/>
        <w:jc w:val="both"/>
        <w:spacing w:before="0" w:after="0"/>
        <w:ind w:left="380" w:right="20"/>
      </w:pPr>
      <w:r>
        <w:rPr>
          <w:lang w:val="ru-RU" w:eastAsia="ru-RU" w:bidi="ru-RU"/>
          <w:w w:val="100"/>
          <w:color w:val="000000"/>
          <w:position w:val="0"/>
        </w:rPr>
        <w:t xml:space="preserve"> Перечисление характеристик в сопровождении знака </w:t>
      </w:r>
      <w:r>
        <w:rPr>
          <w:rStyle w:val="CharStyle14"/>
        </w:rPr>
        <w:t>«.». союза «и»</w:t>
      </w:r>
      <w:r>
        <w:rPr>
          <w:lang w:val="ru-RU" w:eastAsia="ru-RU" w:bidi="ru-RU"/>
          <w:w w:val="100"/>
          <w:color w:val="000000"/>
          <w:position w:val="0"/>
        </w:rPr>
        <w:t xml:space="preserve"> означает, что при производстве работ используются </w:t>
      </w:r>
      <w:r>
        <w:rPr>
          <w:rStyle w:val="CharStyle14"/>
        </w:rPr>
        <w:t>товары со всеми перечисленными характеристиками.</w:t>
      </w:r>
    </w:p>
    <w:p>
      <w:pPr>
        <w:pStyle w:val="Style12"/>
        <w:numPr>
          <w:ilvl w:val="0"/>
          <w:numId w:val="15"/>
        </w:numPr>
        <w:widowControl w:val="0"/>
        <w:keepNext w:val="0"/>
        <w:keepLines w:val="0"/>
        <w:shd w:val="clear" w:color="auto" w:fill="auto"/>
        <w:bidi w:val="0"/>
        <w:jc w:val="both"/>
        <w:spacing w:before="0" w:after="0"/>
        <w:ind w:left="380" w:right="20"/>
      </w:pPr>
      <w:r>
        <w:rPr>
          <w:lang w:val="ru-RU" w:eastAsia="ru-RU" w:bidi="ru-RU"/>
          <w:w w:val="100"/>
          <w:color w:val="000000"/>
          <w:position w:val="0"/>
        </w:rPr>
        <w:t xml:space="preserve"> В случае перечисления характеристик в сопровождении знака </w:t>
      </w:r>
      <w:r>
        <w:rPr>
          <w:rStyle w:val="CharStyle14"/>
        </w:rPr>
        <w:t>«:». «либо», «или»</w:t>
      </w:r>
      <w:r>
        <w:rPr>
          <w:lang w:val="ru-RU" w:eastAsia="ru-RU" w:bidi="ru-RU"/>
          <w:w w:val="100"/>
          <w:color w:val="000000"/>
          <w:position w:val="0"/>
        </w:rPr>
        <w:t xml:space="preserve"> означает, что участник закупки должен указать </w:t>
      </w:r>
      <w:r>
        <w:rPr>
          <w:rStyle w:val="CharStyle14"/>
        </w:rPr>
        <w:t>одно конкретное значение по своему</w:t>
      </w:r>
      <w:r>
        <w:rPr>
          <w:lang w:val="ru-RU" w:eastAsia="ru-RU" w:bidi="ru-RU"/>
          <w:w w:val="100"/>
          <w:color w:val="000000"/>
          <w:position w:val="0"/>
        </w:rPr>
        <w:t xml:space="preserve"> </w:t>
      </w:r>
      <w:r>
        <w:rPr>
          <w:rStyle w:val="CharStyle14"/>
        </w:rPr>
        <w:t>выбору.</w:t>
      </w:r>
    </w:p>
    <w:p>
      <w:pPr>
        <w:pStyle w:val="Style12"/>
        <w:numPr>
          <w:ilvl w:val="0"/>
          <w:numId w:val="15"/>
        </w:numPr>
        <w:widowControl w:val="0"/>
        <w:keepNext w:val="0"/>
        <w:keepLines w:val="0"/>
        <w:shd w:val="clear" w:color="auto" w:fill="auto"/>
        <w:bidi w:val="0"/>
        <w:jc w:val="both"/>
        <w:spacing w:before="0" w:after="0"/>
        <w:ind w:left="380" w:right="20"/>
      </w:pPr>
      <w:r>
        <w:rPr>
          <w:lang w:val="ru-RU" w:eastAsia="ru-RU" w:bidi="ru-RU"/>
          <w:w w:val="100"/>
          <w:color w:val="000000"/>
          <w:position w:val="0"/>
        </w:rPr>
        <w:t xml:space="preserve"> При указании конкретного показателя по максимальному и (или) минимальному значению показателей вида </w:t>
      </w:r>
      <w:r>
        <w:rPr>
          <w:rStyle w:val="CharStyle14"/>
        </w:rPr>
        <w:t>«до х»/«от х»</w:t>
      </w:r>
      <w:r>
        <w:rPr>
          <w:lang w:val="ru-RU" w:eastAsia="ru-RU" w:bidi="ru-RU"/>
          <w:w w:val="100"/>
          <w:color w:val="000000"/>
          <w:position w:val="0"/>
        </w:rPr>
        <w:t xml:space="preserve">. где «х» - верхнее/нижнее числовое значение, участник закупки </w:t>
      </w:r>
      <w:r>
        <w:rPr>
          <w:rStyle w:val="CharStyle14"/>
        </w:rPr>
        <w:t>должен указать конкретный показатель, при этом крайние значения</w:t>
      </w:r>
      <w:r>
        <w:rPr>
          <w:lang w:val="ru-RU" w:eastAsia="ru-RU" w:bidi="ru-RU"/>
          <w:w w:val="100"/>
          <w:color w:val="000000"/>
          <w:position w:val="0"/>
        </w:rPr>
        <w:t xml:space="preserve"> </w:t>
      </w:r>
      <w:r>
        <w:rPr>
          <w:rStyle w:val="CharStyle14"/>
        </w:rPr>
        <w:t>«х» не включены в требуемый интервал</w:t>
      </w:r>
      <w:r>
        <w:rPr>
          <w:lang w:val="ru-RU" w:eastAsia="ru-RU" w:bidi="ru-RU"/>
          <w:w w:val="100"/>
          <w:color w:val="000000"/>
          <w:position w:val="0"/>
        </w:rPr>
        <w:t xml:space="preserve">, </w:t>
      </w:r>
      <w:r>
        <w:rPr>
          <w:rStyle w:val="CharStyle14"/>
        </w:rPr>
        <w:t>за исключением</w:t>
      </w:r>
      <w:r>
        <w:rPr>
          <w:lang w:val="ru-RU" w:eastAsia="ru-RU" w:bidi="ru-RU"/>
          <w:w w:val="100"/>
          <w:color w:val="000000"/>
          <w:position w:val="0"/>
        </w:rPr>
        <w:t>, когда значения «х» сопровождается словом «температура» и его производных, например: «Температурный диапазон эксплуатации от -20оС до +80оС». «Должен применяться при температуре до - 1 ОоС».</w:t>
      </w:r>
    </w:p>
    <w:p>
      <w:pPr>
        <w:pStyle w:val="Style12"/>
        <w:numPr>
          <w:ilvl w:val="0"/>
          <w:numId w:val="15"/>
        </w:numPr>
        <w:widowControl w:val="0"/>
        <w:keepNext w:val="0"/>
        <w:keepLines w:val="0"/>
        <w:shd w:val="clear" w:color="auto" w:fill="auto"/>
        <w:bidi w:val="0"/>
        <w:jc w:val="both"/>
        <w:spacing w:before="0" w:after="0"/>
        <w:ind w:left="380" w:right="20"/>
      </w:pPr>
      <w:r>
        <w:rPr>
          <w:lang w:val="ru-RU" w:eastAsia="ru-RU" w:bidi="ru-RU"/>
          <w:w w:val="100"/>
          <w:color w:val="000000"/>
          <w:position w:val="0"/>
        </w:rPr>
        <w:t xml:space="preserve"> Перечисление характеристик в сопровождении знака «/» означает, что необходимо указать </w:t>
      </w:r>
      <w:r>
        <w:rPr>
          <w:rStyle w:val="CharStyle14"/>
        </w:rPr>
        <w:t>конкретное значение по своему выбору</w:t>
      </w:r>
      <w:r>
        <w:rPr>
          <w:lang w:val="ru-RU" w:eastAsia="ru-RU" w:bidi="ru-RU"/>
          <w:w w:val="100"/>
          <w:color w:val="000000"/>
          <w:position w:val="0"/>
        </w:rPr>
        <w:t>.</w:t>
      </w:r>
    </w:p>
    <w:p>
      <w:pPr>
        <w:pStyle w:val="Style12"/>
        <w:numPr>
          <w:ilvl w:val="0"/>
          <w:numId w:val="15"/>
        </w:numPr>
        <w:widowControl w:val="0"/>
        <w:keepNext w:val="0"/>
        <w:keepLines w:val="0"/>
        <w:shd w:val="clear" w:color="auto" w:fill="auto"/>
        <w:bidi w:val="0"/>
        <w:jc w:val="both"/>
        <w:spacing w:before="0" w:after="0"/>
        <w:ind w:left="360" w:right="20" w:hanging="340"/>
      </w:pPr>
      <w:r>
        <w:rPr>
          <w:lang w:val="ru-RU" w:eastAsia="ru-RU" w:bidi="ru-RU"/>
          <w:w w:val="100"/>
          <w:color w:val="000000"/>
          <w:position w:val="0"/>
        </w:rPr>
        <w:t xml:space="preserve"> При описании характеристик, указанных через &lt;&lt;^&gt;&gt; участник закупки должен указать </w:t>
      </w:r>
      <w:r>
        <w:rPr>
          <w:rStyle w:val="CharStyle14"/>
        </w:rPr>
        <w:t>конкретное числовое значение показателя в рамках требуемого интервала включая</w:t>
      </w:r>
      <w:r>
        <w:rPr>
          <w:lang w:val="ru-RU" w:eastAsia="ru-RU" w:bidi="ru-RU"/>
          <w:w w:val="100"/>
          <w:color w:val="000000"/>
          <w:position w:val="0"/>
        </w:rPr>
        <w:t xml:space="preserve"> </w:t>
      </w:r>
      <w:r>
        <w:rPr>
          <w:rStyle w:val="CharStyle14"/>
        </w:rPr>
        <w:t>пограничные значения</w:t>
      </w:r>
      <w:r>
        <w:rPr>
          <w:lang w:val="ru-RU" w:eastAsia="ru-RU" w:bidi="ru-RU"/>
          <w:w w:val="100"/>
          <w:color w:val="000000"/>
          <w:position w:val="0"/>
        </w:rPr>
        <w:t>.</w:t>
      </w:r>
    </w:p>
    <w:p>
      <w:pPr>
        <w:pStyle w:val="Style12"/>
        <w:numPr>
          <w:ilvl w:val="0"/>
          <w:numId w:val="15"/>
        </w:numPr>
        <w:widowControl w:val="0"/>
        <w:keepNext w:val="0"/>
        <w:keepLines w:val="0"/>
        <w:shd w:val="clear" w:color="auto" w:fill="auto"/>
        <w:bidi w:val="0"/>
        <w:jc w:val="both"/>
        <w:spacing w:before="0" w:after="0"/>
        <w:ind w:left="360" w:right="20" w:hanging="340"/>
      </w:pPr>
      <w:r>
        <w:rPr>
          <w:lang w:val="ru-RU" w:eastAsia="ru-RU" w:bidi="ru-RU"/>
          <w:w w:val="100"/>
          <w:color w:val="000000"/>
          <w:position w:val="0"/>
        </w:rPr>
        <w:t xml:space="preserve"> В случае, если требуемые значения одновременно разделены символами </w:t>
      </w:r>
      <w:r>
        <w:rPr>
          <w:rStyle w:val="CharStyle14"/>
        </w:rPr>
        <w:t>«.» и «;».</w:t>
      </w:r>
      <w:r>
        <w:rPr>
          <w:lang w:val="ru-RU" w:eastAsia="ru-RU" w:bidi="ru-RU"/>
          <w:w w:val="100"/>
          <w:color w:val="000000"/>
          <w:position w:val="0"/>
        </w:rPr>
        <w:t xml:space="preserve"> то следует руководствоваться правилом, что знак </w:t>
      </w:r>
      <w:r>
        <w:rPr>
          <w:rStyle w:val="CharStyle14"/>
        </w:rPr>
        <w:t>«;» действует только между соседними</w:t>
      </w:r>
      <w:r>
        <w:rPr>
          <w:lang w:val="ru-RU" w:eastAsia="ru-RU" w:bidi="ru-RU"/>
          <w:w w:val="100"/>
          <w:color w:val="000000"/>
          <w:position w:val="0"/>
        </w:rPr>
        <w:t xml:space="preserve"> </w:t>
      </w:r>
      <w:r>
        <w:rPr>
          <w:rStyle w:val="CharStyle14"/>
        </w:rPr>
        <w:t>значениями, разделенными этим знаком</w:t>
      </w:r>
      <w:r>
        <w:rPr>
          <w:lang w:val="ru-RU" w:eastAsia="ru-RU" w:bidi="ru-RU"/>
          <w:w w:val="100"/>
          <w:color w:val="000000"/>
          <w:position w:val="0"/>
        </w:rPr>
        <w:t xml:space="preserve"> (например: 2; 4; 6. 3; 8: 10. то участник закупки должен выбрать одно значение из значений 2; 4: 6 и одно значение из значений 3; 8; 10).</w:t>
      </w:r>
    </w:p>
    <w:p>
      <w:pPr>
        <w:pStyle w:val="Style12"/>
        <w:numPr>
          <w:ilvl w:val="0"/>
          <w:numId w:val="15"/>
        </w:numPr>
        <w:widowControl w:val="0"/>
        <w:keepNext w:val="0"/>
        <w:keepLines w:val="0"/>
        <w:shd w:val="clear" w:color="auto" w:fill="auto"/>
        <w:bidi w:val="0"/>
        <w:jc w:val="both"/>
        <w:spacing w:before="0" w:after="0"/>
        <w:ind w:left="360" w:right="20" w:hanging="340"/>
      </w:pPr>
      <w:r>
        <w:rPr>
          <w:lang w:val="ru-RU" w:eastAsia="ru-RU" w:bidi="ru-RU"/>
          <w:w w:val="100"/>
          <w:color w:val="000000"/>
          <w:position w:val="0"/>
        </w:rPr>
        <w:t xml:space="preserve"> В случае указания значений показателей, сопровождающихся словами </w:t>
      </w:r>
      <w:r>
        <w:rPr>
          <w:rStyle w:val="CharStyle14"/>
        </w:rPr>
        <w:t>«диапазон</w:t>
      </w:r>
      <w:r>
        <w:rPr>
          <w:lang w:val="ru-RU" w:eastAsia="ru-RU" w:bidi="ru-RU"/>
          <w:w w:val="100"/>
          <w:color w:val="000000"/>
          <w:position w:val="0"/>
        </w:rPr>
        <w:t xml:space="preserve"> </w:t>
      </w:r>
      <w:r>
        <w:rPr>
          <w:rStyle w:val="CharStyle14"/>
        </w:rPr>
        <w:t>требуемых значений»</w:t>
      </w:r>
      <w:r>
        <w:rPr>
          <w:lang w:val="ru-RU" w:eastAsia="ru-RU" w:bidi="ru-RU"/>
          <w:w w:val="100"/>
          <w:color w:val="000000"/>
          <w:position w:val="0"/>
        </w:rPr>
        <w:t xml:space="preserve">, вне зависимости от применения иных символов (слов, знаков и т.п.), участник закупки должен указать </w:t>
      </w:r>
      <w:r>
        <w:rPr>
          <w:rStyle w:val="CharStyle14"/>
        </w:rPr>
        <w:t>именно диапазон интервала при этом крайние</w:t>
      </w:r>
      <w:r>
        <w:rPr>
          <w:lang w:val="ru-RU" w:eastAsia="ru-RU" w:bidi="ru-RU"/>
          <w:w w:val="100"/>
          <w:color w:val="000000"/>
          <w:position w:val="0"/>
        </w:rPr>
        <w:t xml:space="preserve"> </w:t>
      </w:r>
      <w:r>
        <w:rPr>
          <w:rStyle w:val="CharStyle14"/>
        </w:rPr>
        <w:t>значения могут быть предложены участником</w:t>
      </w:r>
      <w:r>
        <w:rPr>
          <w:lang w:val="ru-RU" w:eastAsia="ru-RU" w:bidi="ru-RU"/>
          <w:w w:val="100"/>
          <w:color w:val="000000"/>
          <w:position w:val="0"/>
        </w:rPr>
        <w:t>.</w:t>
      </w:r>
    </w:p>
    <w:p>
      <w:pPr>
        <w:pStyle w:val="Style12"/>
        <w:numPr>
          <w:ilvl w:val="0"/>
          <w:numId w:val="15"/>
        </w:numPr>
        <w:widowControl w:val="0"/>
        <w:keepNext w:val="0"/>
        <w:keepLines w:val="0"/>
        <w:shd w:val="clear" w:color="auto" w:fill="auto"/>
        <w:bidi w:val="0"/>
        <w:jc w:val="both"/>
        <w:spacing w:before="0" w:after="0"/>
        <w:ind w:left="360" w:right="20" w:hanging="340"/>
      </w:pPr>
      <w:r>
        <w:rPr>
          <w:lang w:val="ru-RU" w:eastAsia="ru-RU" w:bidi="ru-RU"/>
          <w:w w:val="100"/>
          <w:color w:val="000000"/>
          <w:position w:val="0"/>
        </w:rPr>
        <w:t xml:space="preserve"> Слова </w:t>
      </w:r>
      <w:r>
        <w:rPr>
          <w:rStyle w:val="CharStyle14"/>
        </w:rPr>
        <w:t>«менее», «ниже», «уже»</w:t>
      </w:r>
      <w:r>
        <w:rPr>
          <w:lang w:val="ru-RU" w:eastAsia="ru-RU" w:bidi="ru-RU"/>
          <w:w w:val="100"/>
          <w:color w:val="000000"/>
          <w:position w:val="0"/>
        </w:rPr>
        <w:t xml:space="preserve">, в том числе их производные однокоренные слова, означает, что участнику следует предоставить в заявке </w:t>
      </w:r>
      <w:r>
        <w:rPr>
          <w:rStyle w:val="CharStyle14"/>
        </w:rPr>
        <w:t>конкретный показатель, менее</w:t>
      </w:r>
      <w:r>
        <w:rPr>
          <w:lang w:val="ru-RU" w:eastAsia="ru-RU" w:bidi="ru-RU"/>
          <w:w w:val="100"/>
          <w:color w:val="000000"/>
          <w:position w:val="0"/>
        </w:rPr>
        <w:t xml:space="preserve"> </w:t>
      </w:r>
      <w:r>
        <w:rPr>
          <w:rStyle w:val="CharStyle14"/>
        </w:rPr>
        <w:t>указанного значения, не включая крайние значения</w:t>
      </w:r>
      <w:r>
        <w:rPr>
          <w:lang w:val="ru-RU" w:eastAsia="ru-RU" w:bidi="ru-RU"/>
          <w:w w:val="100"/>
          <w:color w:val="000000"/>
          <w:position w:val="0"/>
        </w:rPr>
        <w:t>.</w:t>
      </w:r>
    </w:p>
    <w:p>
      <w:pPr>
        <w:pStyle w:val="Style12"/>
        <w:numPr>
          <w:ilvl w:val="0"/>
          <w:numId w:val="15"/>
        </w:numPr>
        <w:widowControl w:val="0"/>
        <w:keepNext w:val="0"/>
        <w:keepLines w:val="0"/>
        <w:shd w:val="clear" w:color="auto" w:fill="auto"/>
        <w:bidi w:val="0"/>
        <w:jc w:val="both"/>
        <w:spacing w:before="0" w:after="0"/>
        <w:ind w:left="360" w:right="20" w:hanging="340"/>
      </w:pPr>
      <w:r>
        <w:rPr>
          <w:lang w:val="ru-RU" w:eastAsia="ru-RU" w:bidi="ru-RU"/>
          <w:w w:val="100"/>
          <w:color w:val="000000"/>
          <w:position w:val="0"/>
        </w:rPr>
        <w:t xml:space="preserve"> Слова </w:t>
      </w:r>
      <w:r>
        <w:rPr>
          <w:rStyle w:val="CharStyle14"/>
        </w:rPr>
        <w:t>«более», «выше», «шире»</w:t>
      </w:r>
      <w:r>
        <w:rPr>
          <w:lang w:val="ru-RU" w:eastAsia="ru-RU" w:bidi="ru-RU"/>
          <w:w w:val="100"/>
          <w:color w:val="000000"/>
          <w:position w:val="0"/>
        </w:rPr>
        <w:t xml:space="preserve">, в том числе их производные однокоренные слова, означает, что участнику следует предоставить в заявке </w:t>
      </w:r>
      <w:r>
        <w:rPr>
          <w:rStyle w:val="CharStyle14"/>
        </w:rPr>
        <w:t>конкретный показатель, более</w:t>
      </w:r>
      <w:r>
        <w:rPr>
          <w:lang w:val="ru-RU" w:eastAsia="ru-RU" w:bidi="ru-RU"/>
          <w:w w:val="100"/>
          <w:color w:val="000000"/>
          <w:position w:val="0"/>
        </w:rPr>
        <w:t xml:space="preserve"> </w:t>
      </w:r>
      <w:r>
        <w:rPr>
          <w:rStyle w:val="CharStyle14"/>
        </w:rPr>
        <w:t>указанного значения, не включая крайние значения</w:t>
      </w:r>
      <w:r>
        <w:rPr>
          <w:lang w:val="ru-RU" w:eastAsia="ru-RU" w:bidi="ru-RU"/>
          <w:w w:val="100"/>
          <w:color w:val="000000"/>
          <w:position w:val="0"/>
        </w:rPr>
        <w:t>.</w:t>
      </w:r>
    </w:p>
    <w:p>
      <w:pPr>
        <w:pStyle w:val="Style12"/>
        <w:numPr>
          <w:ilvl w:val="0"/>
          <w:numId w:val="15"/>
        </w:numPr>
        <w:widowControl w:val="0"/>
        <w:keepNext w:val="0"/>
        <w:keepLines w:val="0"/>
        <w:shd w:val="clear" w:color="auto" w:fill="auto"/>
        <w:bidi w:val="0"/>
        <w:jc w:val="both"/>
        <w:spacing w:before="0" w:after="0"/>
        <w:ind w:left="360" w:right="20" w:hanging="340"/>
      </w:pPr>
      <w:r>
        <w:rPr>
          <w:lang w:val="ru-RU" w:eastAsia="ru-RU" w:bidi="ru-RU"/>
          <w:w w:val="100"/>
          <w:color w:val="000000"/>
          <w:position w:val="0"/>
        </w:rPr>
        <w:t xml:space="preserve">Слова </w:t>
      </w:r>
      <w:r>
        <w:rPr>
          <w:rStyle w:val="CharStyle14"/>
        </w:rPr>
        <w:t>«не менее», «не ниже»</w:t>
      </w:r>
      <w:r>
        <w:rPr>
          <w:lang w:val="ru-RU" w:eastAsia="ru-RU" w:bidi="ru-RU"/>
          <w:w w:val="100"/>
          <w:color w:val="000000"/>
          <w:position w:val="0"/>
        </w:rPr>
        <w:t xml:space="preserve">, в том числе их производные однокоренные слова, означает, что участнику следует предоставить в заявке </w:t>
      </w:r>
      <w:r>
        <w:rPr>
          <w:rStyle w:val="CharStyle14"/>
        </w:rPr>
        <w:t>конкретный показатель, более указанного</w:t>
      </w:r>
      <w:r>
        <w:rPr>
          <w:lang w:val="ru-RU" w:eastAsia="ru-RU" w:bidi="ru-RU"/>
          <w:w w:val="100"/>
          <w:color w:val="000000"/>
          <w:position w:val="0"/>
        </w:rPr>
        <w:t xml:space="preserve"> </w:t>
      </w:r>
      <w:r>
        <w:rPr>
          <w:rStyle w:val="CharStyle14"/>
        </w:rPr>
        <w:t>значения или равный ему.</w:t>
      </w:r>
    </w:p>
    <w:p>
      <w:pPr>
        <w:pStyle w:val="Style12"/>
        <w:numPr>
          <w:ilvl w:val="0"/>
          <w:numId w:val="15"/>
        </w:numPr>
        <w:widowControl w:val="0"/>
        <w:keepNext w:val="0"/>
        <w:keepLines w:val="0"/>
        <w:shd w:val="clear" w:color="auto" w:fill="auto"/>
        <w:bidi w:val="0"/>
        <w:jc w:val="both"/>
        <w:spacing w:before="0" w:after="0"/>
        <w:ind w:left="360" w:right="20" w:hanging="340"/>
      </w:pPr>
      <w:r>
        <w:rPr>
          <w:lang w:val="ru-RU" w:eastAsia="ru-RU" w:bidi="ru-RU"/>
          <w:w w:val="100"/>
          <w:color w:val="000000"/>
          <w:position w:val="0"/>
        </w:rPr>
        <w:t xml:space="preserve">Слова </w:t>
      </w:r>
      <w:r>
        <w:rPr>
          <w:rStyle w:val="CharStyle14"/>
        </w:rPr>
        <w:t>«не более», «не выше»</w:t>
      </w:r>
      <w:r>
        <w:rPr>
          <w:lang w:val="ru-RU" w:eastAsia="ru-RU" w:bidi="ru-RU"/>
          <w:w w:val="100"/>
          <w:color w:val="000000"/>
          <w:position w:val="0"/>
        </w:rPr>
        <w:t xml:space="preserve">, в том числе их производные однокоренные слова, означает, что участнику следует предоставить в заявке </w:t>
      </w:r>
      <w:r>
        <w:rPr>
          <w:rStyle w:val="CharStyle14"/>
        </w:rPr>
        <w:t>конкретный показатель, менее</w:t>
      </w:r>
      <w:r>
        <w:rPr>
          <w:lang w:val="ru-RU" w:eastAsia="ru-RU" w:bidi="ru-RU"/>
          <w:w w:val="100"/>
          <w:color w:val="000000"/>
          <w:position w:val="0"/>
        </w:rPr>
        <w:t xml:space="preserve"> </w:t>
      </w:r>
      <w:r>
        <w:rPr>
          <w:rStyle w:val="CharStyle14"/>
        </w:rPr>
        <w:t>указанного значения или равный ему</w:t>
      </w:r>
      <w:r>
        <w:rPr>
          <w:lang w:val="ru-RU" w:eastAsia="ru-RU" w:bidi="ru-RU"/>
          <w:w w:val="100"/>
          <w:color w:val="000000"/>
          <w:position w:val="0"/>
        </w:rPr>
        <w:t>.</w:t>
      </w:r>
    </w:p>
    <w:p>
      <w:pPr>
        <w:pStyle w:val="Style12"/>
        <w:numPr>
          <w:ilvl w:val="0"/>
          <w:numId w:val="15"/>
        </w:numPr>
        <w:widowControl w:val="0"/>
        <w:keepNext w:val="0"/>
        <w:keepLines w:val="0"/>
        <w:shd w:val="clear" w:color="auto" w:fill="auto"/>
        <w:bidi w:val="0"/>
        <w:jc w:val="both"/>
        <w:spacing w:before="0" w:after="0"/>
        <w:ind w:left="360" w:right="20" w:hanging="340"/>
      </w:pPr>
      <w:r>
        <w:rPr>
          <w:lang w:val="ru-RU" w:eastAsia="ru-RU" w:bidi="ru-RU"/>
          <w:w w:val="100"/>
          <w:color w:val="000000"/>
          <w:position w:val="0"/>
        </w:rPr>
        <w:t xml:space="preserve">В случае указания значений показателей, сопровождающихся словами </w:t>
      </w:r>
      <w:r>
        <w:rPr>
          <w:rStyle w:val="CharStyle14"/>
        </w:rPr>
        <w:t>«диапазон»</w:t>
      </w:r>
      <w:r>
        <w:rPr>
          <w:lang w:val="ru-RU" w:eastAsia="ru-RU" w:bidi="ru-RU"/>
          <w:w w:val="100"/>
          <w:color w:val="000000"/>
          <w:position w:val="0"/>
        </w:rPr>
        <w:t xml:space="preserve">, вне зависимости от применения иных символов (слов, знаков и т.п.), участник закупки </w:t>
      </w:r>
      <w:r>
        <w:rPr>
          <w:rStyle w:val="CharStyle14"/>
        </w:rPr>
        <w:t>должен указать именно диапазон интервала уже (менее) требуемого исключая крайние</w:t>
      </w:r>
      <w:r>
        <w:rPr>
          <w:lang w:val="ru-RU" w:eastAsia="ru-RU" w:bidi="ru-RU"/>
          <w:w w:val="100"/>
          <w:color w:val="000000"/>
          <w:position w:val="0"/>
        </w:rPr>
        <w:t xml:space="preserve"> </w:t>
      </w:r>
      <w:r>
        <w:rPr>
          <w:rStyle w:val="CharStyle14"/>
        </w:rPr>
        <w:t>значения.</w:t>
      </w:r>
    </w:p>
    <w:p>
      <w:pPr>
        <w:pStyle w:val="Style12"/>
        <w:numPr>
          <w:ilvl w:val="0"/>
          <w:numId w:val="15"/>
        </w:numPr>
        <w:widowControl w:val="0"/>
        <w:keepNext w:val="0"/>
        <w:keepLines w:val="0"/>
        <w:shd w:val="clear" w:color="auto" w:fill="auto"/>
        <w:bidi w:val="0"/>
        <w:jc w:val="both"/>
        <w:spacing w:before="0" w:after="0"/>
        <w:ind w:left="360" w:right="20" w:hanging="340"/>
      </w:pPr>
      <w:r>
        <w:rPr>
          <w:lang w:val="ru-RU" w:eastAsia="ru-RU" w:bidi="ru-RU"/>
          <w:w w:val="100"/>
          <w:color w:val="000000"/>
          <w:position w:val="0"/>
        </w:rPr>
        <w:t xml:space="preserve">В случае указания значений показателей, сопровождающихся словами </w:t>
      </w:r>
      <w:r>
        <w:rPr>
          <w:rStyle w:val="CharStyle14"/>
        </w:rPr>
        <w:t>«в диапазоне»</w:t>
      </w:r>
      <w:r>
        <w:rPr>
          <w:lang w:val="ru-RU" w:eastAsia="ru-RU" w:bidi="ru-RU"/>
          <w:w w:val="100"/>
          <w:color w:val="000000"/>
          <w:position w:val="0"/>
        </w:rPr>
        <w:t xml:space="preserve">, вне зависимости от применения иных символов (слов, знаков и т.п.). участник закупки </w:t>
      </w:r>
      <w:r>
        <w:rPr>
          <w:rStyle w:val="CharStyle14"/>
        </w:rPr>
        <w:t>должен указать именно диапазон интервала шире (более) требуемого исключая крайние</w:t>
      </w:r>
      <w:r>
        <w:rPr>
          <w:lang w:val="ru-RU" w:eastAsia="ru-RU" w:bidi="ru-RU"/>
          <w:w w:val="100"/>
          <w:color w:val="000000"/>
          <w:position w:val="0"/>
        </w:rPr>
        <w:t xml:space="preserve"> </w:t>
      </w:r>
      <w:r>
        <w:rPr>
          <w:rStyle w:val="CharStyle14"/>
        </w:rPr>
        <w:t>значения.</w:t>
      </w:r>
    </w:p>
    <w:p>
      <w:pPr>
        <w:pStyle w:val="Style12"/>
        <w:numPr>
          <w:ilvl w:val="0"/>
          <w:numId w:val="15"/>
        </w:numPr>
        <w:widowControl w:val="0"/>
        <w:keepNext w:val="0"/>
        <w:keepLines w:val="0"/>
        <w:shd w:val="clear" w:color="auto" w:fill="auto"/>
        <w:bidi w:val="0"/>
        <w:jc w:val="both"/>
        <w:spacing w:before="0" w:after="0"/>
        <w:ind w:left="360" w:right="20" w:hanging="340"/>
      </w:pPr>
      <w:r>
        <w:rPr>
          <w:lang w:val="ru-RU" w:eastAsia="ru-RU" w:bidi="ru-RU"/>
          <w:w w:val="100"/>
          <w:color w:val="000000"/>
          <w:position w:val="0"/>
        </w:rPr>
        <w:t xml:space="preserve">Символ </w:t>
      </w:r>
      <w:r>
        <w:rPr>
          <w:rStyle w:val="CharStyle14"/>
        </w:rPr>
        <w:t>«'» (надстрочная запятая)</w:t>
      </w:r>
      <w:r>
        <w:rPr>
          <w:lang w:val="ru-RU" w:eastAsia="ru-RU" w:bidi="ru-RU"/>
          <w:w w:val="100"/>
          <w:color w:val="000000"/>
          <w:position w:val="0"/>
        </w:rPr>
        <w:t xml:space="preserve"> свидетельствует о том. что требуемое значение вне зависимости от применения иных символов (слов, знаков и т.п.) </w:t>
      </w:r>
      <w:r>
        <w:rPr>
          <w:rStyle w:val="CharStyle14"/>
        </w:rPr>
        <w:t>не может быть изменено</w:t>
      </w:r>
      <w:r>
        <w:rPr>
          <w:lang w:val="ru-RU" w:eastAsia="ru-RU" w:bidi="ru-RU"/>
          <w:w w:val="100"/>
          <w:color w:val="000000"/>
          <w:position w:val="0"/>
        </w:rPr>
        <w:t xml:space="preserve"> </w:t>
      </w:r>
      <w:r>
        <w:rPr>
          <w:rStyle w:val="CharStyle14"/>
        </w:rPr>
        <w:t>участником закупки.</w:t>
      </w:r>
    </w:p>
    <w:p>
      <w:pPr>
        <w:pStyle w:val="Style12"/>
        <w:numPr>
          <w:ilvl w:val="0"/>
          <w:numId w:val="15"/>
        </w:numPr>
        <w:widowControl w:val="0"/>
        <w:keepNext w:val="0"/>
        <w:keepLines w:val="0"/>
        <w:shd w:val="clear" w:color="auto" w:fill="auto"/>
        <w:bidi w:val="0"/>
        <w:jc w:val="both"/>
        <w:spacing w:before="0" w:after="0"/>
        <w:ind w:left="360" w:right="20" w:hanging="340"/>
      </w:pPr>
      <w:r>
        <w:rPr>
          <w:lang w:val="ru-RU" w:eastAsia="ru-RU" w:bidi="ru-RU"/>
          <w:w w:val="100"/>
          <w:color w:val="000000"/>
          <w:position w:val="0"/>
        </w:rPr>
        <w:t xml:space="preserve">Символ </w:t>
      </w:r>
      <w:r>
        <w:rPr>
          <w:rStyle w:val="CharStyle14"/>
        </w:rPr>
        <w:t>«...» (многоточие)</w:t>
      </w:r>
      <w:r>
        <w:rPr>
          <w:lang w:val="ru-RU" w:eastAsia="ru-RU" w:bidi="ru-RU"/>
          <w:w w:val="100"/>
          <w:color w:val="000000"/>
          <w:position w:val="0"/>
        </w:rPr>
        <w:t xml:space="preserve"> свидетельствует о том. что участнику необходимо указать </w:t>
      </w:r>
      <w:r>
        <w:rPr>
          <w:rStyle w:val="CharStyle14"/>
        </w:rPr>
        <w:t>конкретный показатель из заданного интервала (при этом крайние значения включены в</w:t>
      </w:r>
      <w:r>
        <w:rPr>
          <w:lang w:val="ru-RU" w:eastAsia="ru-RU" w:bidi="ru-RU"/>
          <w:w w:val="100"/>
          <w:color w:val="000000"/>
          <w:position w:val="0"/>
        </w:rPr>
        <w:t xml:space="preserve"> </w:t>
      </w:r>
      <w:r>
        <w:rPr>
          <w:rStyle w:val="CharStyle14"/>
        </w:rPr>
        <w:t xml:space="preserve">требуемый интервал и </w:t>
      </w:r>
      <w:r>
        <w:rPr>
          <w:rStyle w:val="CharStyle19"/>
        </w:rPr>
        <w:t xml:space="preserve">могут </w:t>
      </w:r>
      <w:r>
        <w:rPr>
          <w:rStyle w:val="CharStyle14"/>
        </w:rPr>
        <w:t>быть предложены участником)</w:t>
      </w:r>
      <w:r>
        <w:rPr>
          <w:lang w:val="ru-RU" w:eastAsia="ru-RU" w:bidi="ru-RU"/>
          <w:w w:val="100"/>
          <w:color w:val="000000"/>
          <w:position w:val="0"/>
        </w:rPr>
        <w:t>.</w:t>
      </w:r>
    </w:p>
    <w:p>
      <w:pPr>
        <w:pStyle w:val="Style12"/>
        <w:numPr>
          <w:ilvl w:val="0"/>
          <w:numId w:val="15"/>
        </w:numPr>
        <w:widowControl w:val="0"/>
        <w:keepNext w:val="0"/>
        <w:keepLines w:val="0"/>
        <w:shd w:val="clear" w:color="auto" w:fill="auto"/>
        <w:bidi w:val="0"/>
        <w:jc w:val="both"/>
        <w:spacing w:before="0" w:after="0"/>
        <w:ind w:left="360" w:right="20" w:hanging="340"/>
      </w:pPr>
      <w:r>
        <w:rPr>
          <w:lang w:val="ru-RU" w:eastAsia="ru-RU" w:bidi="ru-RU"/>
          <w:w w:val="100"/>
          <w:color w:val="000000"/>
          <w:position w:val="0"/>
        </w:rPr>
        <w:t xml:space="preserve">Символ </w:t>
      </w:r>
      <w:r>
        <w:rPr>
          <w:rStyle w:val="CharStyle21"/>
        </w:rPr>
        <w:t>«&lt;»</w:t>
      </w:r>
      <w:r>
        <w:rPr>
          <w:lang w:val="ru-RU" w:eastAsia="ru-RU" w:bidi="ru-RU"/>
          <w:w w:val="100"/>
          <w:color w:val="000000"/>
          <w:position w:val="0"/>
        </w:rPr>
        <w:t xml:space="preserve"> - означает что. участнику следует предоставить в заявке конкретный показатель, менее указанного значения. Символ </w:t>
      </w:r>
      <w:r>
        <w:rPr>
          <w:rStyle w:val="CharStyle14"/>
        </w:rPr>
        <w:t>«&gt;»</w:t>
      </w:r>
      <w:r>
        <w:rPr>
          <w:lang w:val="ru-RU" w:eastAsia="ru-RU" w:bidi="ru-RU"/>
          <w:w w:val="100"/>
          <w:color w:val="000000"/>
          <w:position w:val="0"/>
        </w:rPr>
        <w:t xml:space="preserve"> - означает что, участнику следует предоставить в заявке конкретный показатель, более указанного значения. Символ </w:t>
      </w:r>
      <w:r>
        <w:rPr>
          <w:rStyle w:val="CharStyle14"/>
        </w:rPr>
        <w:t>«&gt;»</w:t>
      </w:r>
      <w:r>
        <w:rPr>
          <w:lang w:val="ru-RU" w:eastAsia="ru-RU" w:bidi="ru-RU"/>
          <w:w w:val="100"/>
          <w:color w:val="000000"/>
          <w:position w:val="0"/>
        </w:rPr>
        <w:t xml:space="preserve"> - означает что. участнику следует предоставить в заявке конкретный показатель, более указанного значения или равный ему. Символ </w:t>
      </w:r>
      <w:r>
        <w:rPr>
          <w:rStyle w:val="CharStyle14"/>
        </w:rPr>
        <w:t>«&lt;»</w:t>
      </w:r>
      <w:r>
        <w:rPr>
          <w:lang w:val="ru-RU" w:eastAsia="ru-RU" w:bidi="ru-RU"/>
          <w:w w:val="100"/>
          <w:color w:val="000000"/>
          <w:position w:val="0"/>
        </w:rPr>
        <w:t xml:space="preserve"> - означает что. участнику следует предоставить в заявке конкретный показатель, менее указанного значения или равный ему.</w:t>
      </w:r>
    </w:p>
    <w:p>
      <w:pPr>
        <w:pStyle w:val="Style12"/>
        <w:numPr>
          <w:ilvl w:val="0"/>
          <w:numId w:val="15"/>
        </w:numPr>
        <w:widowControl w:val="0"/>
        <w:keepNext w:val="0"/>
        <w:keepLines w:val="0"/>
        <w:shd w:val="clear" w:color="auto" w:fill="auto"/>
        <w:bidi w:val="0"/>
        <w:jc w:val="both"/>
        <w:spacing w:before="0" w:after="0"/>
        <w:ind w:left="360" w:right="20" w:hanging="340"/>
      </w:pPr>
      <w:r>
        <w:rPr>
          <w:lang w:val="ru-RU" w:eastAsia="ru-RU" w:bidi="ru-RU"/>
          <w:w w:val="100"/>
          <w:color w:val="000000"/>
          <w:position w:val="0"/>
        </w:rPr>
        <w:t xml:space="preserve">В случае, когда значения показателя товара перечисляются через знак </w:t>
      </w:r>
      <w:r>
        <w:rPr>
          <w:rStyle w:val="CharStyle14"/>
        </w:rPr>
        <w:t>«,»</w:t>
      </w:r>
      <w:r>
        <w:rPr>
          <w:lang w:val="ru-RU" w:eastAsia="ru-RU" w:bidi="ru-RU"/>
          <w:w w:val="100"/>
          <w:color w:val="000000"/>
          <w:position w:val="0"/>
        </w:rPr>
        <w:t xml:space="preserve">. </w:t>
      </w:r>
      <w:r>
        <w:rPr>
          <w:rStyle w:val="CharStyle14"/>
        </w:rPr>
        <w:t>а в завершении</w:t>
      </w:r>
      <w:r>
        <w:rPr>
          <w:lang w:val="ru-RU" w:eastAsia="ru-RU" w:bidi="ru-RU"/>
          <w:w w:val="100"/>
          <w:color w:val="000000"/>
          <w:position w:val="0"/>
        </w:rPr>
        <w:t xml:space="preserve"> </w:t>
      </w:r>
      <w:r>
        <w:rPr>
          <w:rStyle w:val="CharStyle14"/>
        </w:rPr>
        <w:t>перечисления указан союз «или»</w:t>
      </w:r>
      <w:r>
        <w:rPr>
          <w:lang w:val="ru-RU" w:eastAsia="ru-RU" w:bidi="ru-RU"/>
          <w:w w:val="100"/>
          <w:color w:val="000000"/>
          <w:position w:val="0"/>
        </w:rPr>
        <w:t xml:space="preserve">, то необходимо указать </w:t>
      </w:r>
      <w:r>
        <w:rPr>
          <w:rStyle w:val="CharStyle14"/>
        </w:rPr>
        <w:t>только один из перечисляемых</w:t>
      </w:r>
      <w:r>
        <w:rPr>
          <w:lang w:val="ru-RU" w:eastAsia="ru-RU" w:bidi="ru-RU"/>
          <w:w w:val="100"/>
          <w:color w:val="000000"/>
          <w:position w:val="0"/>
        </w:rPr>
        <w:t xml:space="preserve"> </w:t>
      </w:r>
      <w:r>
        <w:rPr>
          <w:rStyle w:val="CharStyle14"/>
        </w:rPr>
        <w:t>вариантов значений показателей.</w:t>
      </w:r>
    </w:p>
    <w:p>
      <w:pPr>
        <w:pStyle w:val="Style12"/>
        <w:numPr>
          <w:ilvl w:val="0"/>
          <w:numId w:val="15"/>
        </w:numPr>
        <w:widowControl w:val="0"/>
        <w:keepNext w:val="0"/>
        <w:keepLines w:val="0"/>
        <w:shd w:val="clear" w:color="auto" w:fill="auto"/>
        <w:bidi w:val="0"/>
        <w:jc w:val="both"/>
        <w:spacing w:before="0" w:after="0" w:line="293" w:lineRule="exact"/>
        <w:ind w:left="360" w:right="20" w:hanging="340"/>
      </w:pPr>
      <w:r>
        <w:rPr>
          <w:lang w:val="ru-RU" w:eastAsia="ru-RU" w:bidi="ru-RU"/>
          <w:w w:val="100"/>
          <w:color w:val="000000"/>
          <w:position w:val="0"/>
        </w:rPr>
        <w:t xml:space="preserve">В случае указания требуемого значения с использованием символов </w:t>
      </w:r>
      <w:r>
        <w:rPr>
          <w:rStyle w:val="CharStyle14"/>
        </w:rPr>
        <w:t>«[ 1»</w:t>
      </w:r>
      <w:r>
        <w:rPr>
          <w:lang w:val="ru-RU" w:eastAsia="ru-RU" w:bidi="ru-RU"/>
          <w:w w:val="100"/>
          <w:color w:val="000000"/>
          <w:position w:val="0"/>
        </w:rPr>
        <w:t>. в границах которых установлен показатель, вне зависимости от применения иных символов (знаков.</w:t>
      </w:r>
    </w:p>
    <w:p>
      <w:pPr>
        <w:pStyle w:val="Style12"/>
        <w:widowControl w:val="0"/>
        <w:keepNext w:val="0"/>
        <w:keepLines w:val="0"/>
        <w:shd w:val="clear" w:color="auto" w:fill="auto"/>
        <w:bidi w:val="0"/>
        <w:jc w:val="both"/>
        <w:spacing w:before="0" w:after="0"/>
        <w:ind w:left="380" w:right="20" w:firstLine="0"/>
      </w:pPr>
      <w:r>
        <w:rPr>
          <w:lang w:val="ru-RU" w:eastAsia="ru-RU" w:bidi="ru-RU"/>
          <w:w w:val="100"/>
          <w:color w:val="000000"/>
          <w:position w:val="0"/>
        </w:rPr>
        <w:t xml:space="preserve">союзов, слов, предлогов), установленных настоящей инструкцией, участнику закупки необходимо представить </w:t>
      </w:r>
      <w:r>
        <w:rPr>
          <w:rStyle w:val="CharStyle14"/>
        </w:rPr>
        <w:t>данный показатель без используемых символов как значение,</w:t>
      </w:r>
      <w:r>
        <w:rPr>
          <w:lang w:val="ru-RU" w:eastAsia="ru-RU" w:bidi="ru-RU"/>
          <w:w w:val="100"/>
          <w:color w:val="000000"/>
          <w:position w:val="0"/>
        </w:rPr>
        <w:t xml:space="preserve"> </w:t>
      </w:r>
      <w:r>
        <w:rPr>
          <w:rStyle w:val="CharStyle14"/>
        </w:rPr>
        <w:t>которое не может изменяться.</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 xml:space="preserve">Кроме того, в пункте 7.3.2 документации об электронном аукционе указано, что товары (материалы) должны соответствовать следующим нормативным документам: ГОСТ Р 52290-2004 п.1; ГОСТ 14332-78, ГОСТ 14254-2015, ГОСТ 15150-69 п.2; ГОСТ 15150-69 п.10; ГОСТ 3282-74 п.11; ГОСТ 30136-95 п.12; ГОСТ 8639-82, ГОСТ 13663-86 п.13; ГОСТ 5336-80 п.14; ГОСТ 28013-98 п.15; ГОСТ 15150-69 п.16; ГОСТ 7399-97 п.17; ГОСТ 31996- 2012 п.18; ГОСТ 24222-80 п.19; ГОСТ Р 50345-2010 п.20; ГОСТ 8509-93 п.21; ГОСТ 8645- 68, ГОСТ 13663-86 п.22; ГОСТ 7338-90 п.23; ГОСТ 15150-69 п.24; ГОСТ 8267-93 п.25; ГОСТ 125-2018 п.26; ГОСТ 6465-76 п.27; ГОСТ 6665-91 п.28; ГОСТ 28013-98 п.29; ГОСТ 15150- 69 п.31; ГОСТ 8509-93 п.32; ГОСТ 31996-2012 п.ЗЗ; ГОСТ 23279-2012 п.34; ГОСТ 3826-82 п.35; ГОСТ 17557-88 п.36; ГОСТ 15150-69 п.37; ГОСТ 19034-82 п.38; ГОСТ 103-2006 п.39; ГОСТ 28013-98 п.40; ГОСТ 26633-2015.1 ОСТ 7473-2010 п.41; ГОСТ 3 1996-2012 п.42; ГОСТ 19034-82 п.43; ГОСТ 8736-2014 п.45; ГОСТ 1667-68 </w:t>
      </w:r>
      <w:r>
        <w:rPr>
          <w:lang w:val="en-US" w:eastAsia="en-US" w:bidi="en-US"/>
          <w:w w:val="100"/>
          <w:color w:val="000000"/>
          <w:position w:val="0"/>
        </w:rPr>
        <w:t xml:space="preserve">ri.46; </w:t>
      </w:r>
      <w:r>
        <w:rPr>
          <w:lang w:val="ru-RU" w:eastAsia="ru-RU" w:bidi="ru-RU"/>
          <w:w w:val="100"/>
          <w:color w:val="000000"/>
          <w:position w:val="0"/>
        </w:rPr>
        <w:t>ГОСТ 7386-80 п.48; ГОСТ 7338- 90 п.49; ГОСТ 31996-2012 п.50; ГОСТ 8639-82. ГОСТ 13663-86 п.51; ГОСТ 2889-80 п.52; ГОСТ 8267-93 п.54; ГОСТ 103-2006 п.55; ГОСТ 9179-2018 п.56; ГОСТ 15150-69 п.58; ГОСТ 8568-77 п.59; ГОСТ 31996-2012 п.60; ГОСТ 7338-90 п.61; ГОСТ 19034-82 п.62; ГОСТ 2162- 97 п.63; ГОСТ 8645-68, ГОСТ 13663-86 п.64; ГОСТ 23279-2012 п.65; ГОСТ 3826-82 п.66; ГОСТ 5336-80 п.67.</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 xml:space="preserve">В Приложении № 3 к документации об электронном аукционе заказчиком установлены </w:t>
      </w:r>
      <w:r>
        <w:rPr>
          <w:rStyle w:val="CharStyle14"/>
        </w:rPr>
        <w:t>Требования к техническим характеристикам товаров (материалов),</w:t>
      </w:r>
      <w:r>
        <w:rPr>
          <w:lang w:val="ru-RU" w:eastAsia="ru-RU" w:bidi="ru-RU"/>
          <w:w w:val="100"/>
          <w:color w:val="000000"/>
          <w:position w:val="0"/>
        </w:rPr>
        <w:t xml:space="preserve"> </w:t>
      </w:r>
      <w:r>
        <w:rPr>
          <w:rStyle w:val="CharStyle14"/>
        </w:rPr>
        <w:t>применяемых при обслуживании систем сигнализации, видеонаблюдения, инженерно-</w:t>
      </w:r>
      <w:r>
        <w:rPr>
          <w:lang w:val="ru-RU" w:eastAsia="ru-RU" w:bidi="ru-RU"/>
          <w:w w:val="100"/>
          <w:color w:val="000000"/>
          <w:position w:val="0"/>
        </w:rPr>
        <w:t xml:space="preserve"> </w:t>
      </w:r>
      <w:r>
        <w:rPr>
          <w:rStyle w:val="CharStyle14"/>
        </w:rPr>
        <w:t>технических средств (систем) обеспечения транспортной безопасности</w:t>
      </w:r>
      <w:r>
        <w:rPr>
          <w:lang w:val="ru-RU" w:eastAsia="ru-RU" w:bidi="ru-RU"/>
          <w:w w:val="100"/>
          <w:color w:val="000000"/>
          <w:position w:val="0"/>
        </w:rPr>
        <w:t>.</w:t>
      </w:r>
    </w:p>
    <w:p>
      <w:pPr>
        <w:pStyle w:val="Style12"/>
        <w:widowControl w:val="0"/>
        <w:keepNext w:val="0"/>
        <w:keepLines w:val="0"/>
        <w:shd w:val="clear" w:color="auto" w:fill="auto"/>
        <w:bidi w:val="0"/>
        <w:jc w:val="both"/>
        <w:spacing w:before="0" w:after="0"/>
        <w:ind w:left="20" w:right="0" w:firstLine="700"/>
      </w:pPr>
      <w:r>
        <w:rPr>
          <w:rStyle w:val="CharStyle14"/>
        </w:rPr>
        <w:t>В отношении доводов жалобы Комиссией Управления установлено следующее:</w:t>
      </w:r>
    </w:p>
    <w:p>
      <w:pPr>
        <w:pStyle w:val="Style12"/>
        <w:numPr>
          <w:ilvl w:val="0"/>
          <w:numId w:val="17"/>
        </w:numPr>
        <w:tabs>
          <w:tab w:leader="none" w:pos="1029" w:val="left"/>
        </w:tabs>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В позиции № 29 в Приложении № 3 указан «</w:t>
      </w:r>
      <w:r>
        <w:rPr>
          <w:rStyle w:val="CharStyle14"/>
        </w:rPr>
        <w:t>Раствор строительный тип 2</w:t>
      </w:r>
      <w:r>
        <w:rPr>
          <w:lang w:val="ru-RU" w:eastAsia="ru-RU" w:bidi="ru-RU"/>
          <w:w w:val="100"/>
          <w:color w:val="000000"/>
          <w:position w:val="0"/>
        </w:rPr>
        <w:t>». в отношении которого установлено, в том числе, следующее:</w:t>
      </w:r>
    </w:p>
    <w:p>
      <w:pPr>
        <w:pStyle w:val="Style12"/>
        <w:widowControl w:val="0"/>
        <w:keepNext w:val="0"/>
        <w:keepLines w:val="0"/>
        <w:shd w:val="clear" w:color="auto" w:fill="auto"/>
        <w:bidi w:val="0"/>
        <w:jc w:val="both"/>
        <w:spacing w:before="0" w:after="0"/>
        <w:ind w:left="20" w:right="0" w:firstLine="700"/>
      </w:pPr>
      <w:r>
        <w:rPr>
          <w:lang w:val="ru-RU" w:eastAsia="ru-RU" w:bidi="ru-RU"/>
          <w:w w:val="100"/>
          <w:color w:val="000000"/>
          <w:position w:val="0"/>
        </w:rPr>
        <w:t>Марка по подвижности должна быть 11к 1 :Пк2.11 кЗ</w:t>
      </w:r>
    </w:p>
    <w:p>
      <w:pPr>
        <w:pStyle w:val="Style12"/>
        <w:widowControl w:val="0"/>
        <w:keepNext w:val="0"/>
        <w:keepLines w:val="0"/>
        <w:shd w:val="clear" w:color="auto" w:fill="auto"/>
        <w:bidi w:val="0"/>
        <w:jc w:val="both"/>
        <w:spacing w:before="0" w:after="0"/>
        <w:ind w:left="20" w:right="0" w:firstLine="700"/>
      </w:pPr>
      <w:r>
        <w:rPr>
          <w:lang w:val="ru-RU" w:eastAsia="ru-RU" w:bidi="ru-RU"/>
          <w:w w:val="100"/>
          <w:color w:val="000000"/>
          <w:position w:val="0"/>
        </w:rPr>
        <w:t>Описание раствор должен быть на смешанных вяжущих, раствор на вяжущем одного</w:t>
      </w:r>
    </w:p>
    <w:p>
      <w:pPr>
        <w:pStyle w:val="Style12"/>
        <w:widowControl w:val="0"/>
        <w:keepNext w:val="0"/>
        <w:keepLines w:val="0"/>
        <w:shd w:val="clear" w:color="auto" w:fill="auto"/>
        <w:bidi w:val="0"/>
        <w:jc w:val="left"/>
        <w:spacing w:before="0" w:after="0"/>
        <w:ind w:left="20" w:right="0" w:firstLine="0"/>
      </w:pPr>
      <w:r>
        <w:rPr>
          <w:lang w:val="ru-RU" w:eastAsia="ru-RU" w:bidi="ru-RU"/>
          <w:w w:val="100"/>
          <w:color w:val="000000"/>
          <w:position w:val="0"/>
        </w:rPr>
        <w:t>вида</w:t>
      </w:r>
    </w:p>
    <w:p>
      <w:pPr>
        <w:pStyle w:val="Style12"/>
        <w:widowControl w:val="0"/>
        <w:keepNext w:val="0"/>
        <w:keepLines w:val="0"/>
        <w:shd w:val="clear" w:color="auto" w:fill="auto"/>
        <w:bidi w:val="0"/>
        <w:jc w:val="both"/>
        <w:spacing w:before="0" w:after="0"/>
        <w:ind w:left="20" w:right="0" w:firstLine="700"/>
      </w:pPr>
      <w:r>
        <w:rPr>
          <w:lang w:val="ru-RU" w:eastAsia="ru-RU" w:bidi="ru-RU"/>
          <w:w w:val="100"/>
          <w:color w:val="000000"/>
          <w:position w:val="0"/>
        </w:rPr>
        <w:t>Тип раствора должен быть тяжелый; легкий</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Вяжущее должен быть портландцемент; [цемент для строительных растворов, известь строительная]</w:t>
      </w:r>
    </w:p>
    <w:p>
      <w:pPr>
        <w:pStyle w:val="Style12"/>
        <w:widowControl w:val="0"/>
        <w:keepNext w:val="0"/>
        <w:keepLines w:val="0"/>
        <w:shd w:val="clear" w:color="auto" w:fill="auto"/>
        <w:bidi w:val="0"/>
        <w:jc w:val="left"/>
        <w:spacing w:before="0" w:after="0"/>
        <w:ind w:left="20" w:right="20" w:firstLine="700"/>
      </w:pPr>
      <w:r>
        <w:rPr>
          <w:lang w:val="ru-RU" w:eastAsia="ru-RU" w:bidi="ru-RU"/>
          <w:w w:val="100"/>
          <w:color w:val="000000"/>
          <w:position w:val="0"/>
        </w:rPr>
        <w:t xml:space="preserve">Марка прочности раствора на сжатие не должна быть менее М150 Марка по морозостойкости должна быть </w:t>
      </w:r>
      <w:r>
        <w:rPr>
          <w:lang w:val="en-US" w:eastAsia="en-US" w:bidi="en-US"/>
          <w:w w:val="100"/>
          <w:color w:val="000000"/>
          <w:position w:val="0"/>
        </w:rPr>
        <w:t xml:space="preserve">F35; F50; F75; F100; F150 </w:t>
      </w:r>
      <w:r>
        <w:rPr>
          <w:lang w:val="ru-RU" w:eastAsia="ru-RU" w:bidi="ru-RU"/>
          <w:w w:val="100"/>
          <w:color w:val="000000"/>
          <w:position w:val="0"/>
        </w:rPr>
        <w:t>Свойства в растворе в качестве вяжущего допустимо наличие глины Заполнитель должен быть [золошлаковый песок,золы-уноса];песок из шлаков черной и цветной металлургии</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По мнению подателя жалобы, указание в данной позиции нескольких марок по подвижности и нескольких типов вяжущего раствора приводит к указанию в заявке недостоверных сведений.</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В соответствии с пунктом 7.3.2 документации об электронном аукционе в отношении материала раствор строительный применяется ГОСТ 28013-98. Растворы строительные. Общие технические условия.</w:t>
      </w:r>
    </w:p>
    <w:p>
      <w:pPr>
        <w:pStyle w:val="Style12"/>
        <w:widowControl w:val="0"/>
        <w:keepNext w:val="0"/>
        <w:keepLines w:val="0"/>
        <w:shd w:val="clear" w:color="auto" w:fill="auto"/>
        <w:bidi w:val="0"/>
        <w:jc w:val="both"/>
        <w:spacing w:before="0" w:after="0"/>
        <w:ind w:left="20" w:right="0" w:firstLine="700"/>
      </w:pPr>
      <w:r>
        <w:rPr>
          <w:lang w:val="ru-RU" w:eastAsia="ru-RU" w:bidi="ru-RU"/>
          <w:w w:val="100"/>
          <w:color w:val="000000"/>
          <w:position w:val="0"/>
        </w:rPr>
        <w:t>Согласно пункту 3.1 ГОСТ 28013-98 строительные растворы классифицируют по:</w:t>
      </w:r>
    </w:p>
    <w:p>
      <w:pPr>
        <w:pStyle w:val="Style12"/>
        <w:numPr>
          <w:ilvl w:val="0"/>
          <w:numId w:val="1"/>
        </w:numPr>
        <w:widowControl w:val="0"/>
        <w:keepNext w:val="0"/>
        <w:keepLines w:val="0"/>
        <w:shd w:val="clear" w:color="auto" w:fill="auto"/>
        <w:bidi w:val="0"/>
        <w:jc w:val="left"/>
        <w:spacing w:before="0" w:after="0" w:line="307" w:lineRule="exact"/>
        <w:ind w:left="20" w:right="0" w:firstLine="0"/>
      </w:pPr>
      <w:r>
        <w:rPr>
          <w:lang w:val="ru-RU" w:eastAsia="ru-RU" w:bidi="ru-RU"/>
          <w:w w:val="100"/>
          <w:color w:val="000000"/>
          <w:position w:val="0"/>
        </w:rPr>
        <w:t xml:space="preserve"> основному назначению;</w:t>
      </w:r>
    </w:p>
    <w:p>
      <w:pPr>
        <w:pStyle w:val="Style12"/>
        <w:numPr>
          <w:ilvl w:val="0"/>
          <w:numId w:val="1"/>
        </w:numPr>
        <w:widowControl w:val="0"/>
        <w:keepNext w:val="0"/>
        <w:keepLines w:val="0"/>
        <w:shd w:val="clear" w:color="auto" w:fill="auto"/>
        <w:bidi w:val="0"/>
        <w:jc w:val="left"/>
        <w:spacing w:before="0" w:after="0" w:line="307" w:lineRule="exact"/>
        <w:ind w:left="20" w:right="0" w:firstLine="0"/>
      </w:pPr>
      <w:r>
        <w:rPr>
          <w:lang w:val="ru-RU" w:eastAsia="ru-RU" w:bidi="ru-RU"/>
          <w:w w:val="100"/>
          <w:color w:val="000000"/>
          <w:position w:val="0"/>
        </w:rPr>
        <w:t xml:space="preserve"> применяемому вяжущему;</w:t>
      </w:r>
    </w:p>
    <w:p>
      <w:pPr>
        <w:pStyle w:val="Style12"/>
        <w:numPr>
          <w:ilvl w:val="0"/>
          <w:numId w:val="1"/>
        </w:numPr>
        <w:widowControl w:val="0"/>
        <w:keepNext w:val="0"/>
        <w:keepLines w:val="0"/>
        <w:shd w:val="clear" w:color="auto" w:fill="auto"/>
        <w:bidi w:val="0"/>
        <w:jc w:val="left"/>
        <w:spacing w:before="0" w:after="0" w:line="307" w:lineRule="exact"/>
        <w:ind w:left="20" w:right="0" w:firstLine="0"/>
      </w:pPr>
      <w:r>
        <w:rPr>
          <w:lang w:val="ru-RU" w:eastAsia="ru-RU" w:bidi="ru-RU"/>
          <w:w w:val="100"/>
          <w:color w:val="000000"/>
          <w:position w:val="0"/>
        </w:rPr>
        <w:t xml:space="preserve"> средней плотности.</w:t>
      </w:r>
    </w:p>
    <w:p>
      <w:pPr>
        <w:pStyle w:val="Style12"/>
        <w:widowControl w:val="0"/>
        <w:keepNext w:val="0"/>
        <w:keepLines w:val="0"/>
        <w:shd w:val="clear" w:color="auto" w:fill="auto"/>
        <w:bidi w:val="0"/>
        <w:jc w:val="both"/>
        <w:spacing w:before="0" w:after="0" w:line="230" w:lineRule="exact"/>
        <w:ind w:left="20" w:right="0" w:firstLine="700"/>
      </w:pPr>
      <w:r>
        <w:rPr>
          <w:lang w:val="ru-RU" w:eastAsia="ru-RU" w:bidi="ru-RU"/>
          <w:w w:val="100"/>
          <w:color w:val="000000"/>
          <w:position w:val="0"/>
        </w:rPr>
        <w:t>По основному назначению растворы подразделяют на:</w:t>
      </w:r>
    </w:p>
    <w:p>
      <w:pPr>
        <w:pStyle w:val="Style12"/>
        <w:numPr>
          <w:ilvl w:val="0"/>
          <w:numId w:val="1"/>
        </w:numPr>
        <w:widowControl w:val="0"/>
        <w:keepNext w:val="0"/>
        <w:keepLines w:val="0"/>
        <w:shd w:val="clear" w:color="auto" w:fill="auto"/>
        <w:bidi w:val="0"/>
        <w:jc w:val="left"/>
        <w:spacing w:before="0" w:after="0" w:line="326" w:lineRule="exact"/>
        <w:ind w:left="40" w:right="0" w:firstLine="0"/>
      </w:pPr>
      <w:r>
        <w:rPr>
          <w:lang w:val="ru-RU" w:eastAsia="ru-RU" w:bidi="ru-RU"/>
          <w:w w:val="100"/>
          <w:color w:val="000000"/>
          <w:position w:val="0"/>
        </w:rPr>
        <w:t xml:space="preserve"> кладочные (в том числе и для монтажных работ);</w:t>
      </w:r>
    </w:p>
    <w:p>
      <w:pPr>
        <w:pStyle w:val="Style12"/>
        <w:numPr>
          <w:ilvl w:val="0"/>
          <w:numId w:val="1"/>
        </w:numPr>
        <w:widowControl w:val="0"/>
        <w:keepNext w:val="0"/>
        <w:keepLines w:val="0"/>
        <w:shd w:val="clear" w:color="auto" w:fill="auto"/>
        <w:bidi w:val="0"/>
        <w:jc w:val="left"/>
        <w:spacing w:before="0" w:after="0" w:line="326" w:lineRule="exact"/>
        <w:ind w:left="40" w:right="0" w:firstLine="0"/>
      </w:pPr>
      <w:r>
        <w:rPr>
          <w:lang w:val="ru-RU" w:eastAsia="ru-RU" w:bidi="ru-RU"/>
          <w:w w:val="100"/>
          <w:color w:val="000000"/>
          <w:position w:val="0"/>
        </w:rPr>
        <w:t xml:space="preserve"> облицовочные;</w:t>
      </w:r>
    </w:p>
    <w:p>
      <w:pPr>
        <w:pStyle w:val="Style12"/>
        <w:numPr>
          <w:ilvl w:val="0"/>
          <w:numId w:val="1"/>
        </w:numPr>
        <w:widowControl w:val="0"/>
        <w:keepNext w:val="0"/>
        <w:keepLines w:val="0"/>
        <w:shd w:val="clear" w:color="auto" w:fill="auto"/>
        <w:bidi w:val="0"/>
        <w:jc w:val="left"/>
        <w:spacing w:before="0" w:after="0" w:line="326" w:lineRule="exact"/>
        <w:ind w:left="40" w:right="0" w:firstLine="0"/>
      </w:pPr>
      <w:r>
        <w:rPr>
          <w:lang w:val="ru-RU" w:eastAsia="ru-RU" w:bidi="ru-RU"/>
          <w:w w:val="100"/>
          <w:color w:val="000000"/>
          <w:position w:val="0"/>
        </w:rPr>
        <w:t xml:space="preserve"> штукатурные.</w:t>
      </w:r>
    </w:p>
    <w:p>
      <w:pPr>
        <w:pStyle w:val="Style12"/>
        <w:widowControl w:val="0"/>
        <w:keepNext w:val="0"/>
        <w:keepLines w:val="0"/>
        <w:shd w:val="clear" w:color="auto" w:fill="auto"/>
        <w:bidi w:val="0"/>
        <w:jc w:val="both"/>
        <w:spacing w:before="0" w:after="0" w:line="312" w:lineRule="exact"/>
        <w:ind w:left="40" w:right="0" w:firstLine="700"/>
      </w:pPr>
      <w:r>
        <w:rPr>
          <w:lang w:val="ru-RU" w:eastAsia="ru-RU" w:bidi="ru-RU"/>
          <w:w w:val="100"/>
          <w:color w:val="000000"/>
          <w:position w:val="0"/>
        </w:rPr>
        <w:t>По применяемым вяжущим растворы подразделяют на:</w:t>
      </w:r>
    </w:p>
    <w:p>
      <w:pPr>
        <w:pStyle w:val="Style12"/>
        <w:numPr>
          <w:ilvl w:val="0"/>
          <w:numId w:val="1"/>
        </w:numPr>
        <w:widowControl w:val="0"/>
        <w:keepNext w:val="0"/>
        <w:keepLines w:val="0"/>
        <w:shd w:val="clear" w:color="auto" w:fill="auto"/>
        <w:bidi w:val="0"/>
        <w:jc w:val="left"/>
        <w:spacing w:before="0" w:after="0" w:line="312" w:lineRule="exact"/>
        <w:ind w:left="40" w:right="0" w:firstLine="0"/>
      </w:pPr>
      <w:r>
        <w:rPr>
          <w:lang w:val="ru-RU" w:eastAsia="ru-RU" w:bidi="ru-RU"/>
          <w:w w:val="100"/>
          <w:color w:val="000000"/>
          <w:position w:val="0"/>
        </w:rPr>
        <w:t xml:space="preserve"> простые (на вяжущем одного вида);</w:t>
      </w:r>
    </w:p>
    <w:p>
      <w:pPr>
        <w:pStyle w:val="Style12"/>
        <w:numPr>
          <w:ilvl w:val="0"/>
          <w:numId w:val="1"/>
        </w:numPr>
        <w:widowControl w:val="0"/>
        <w:keepNext w:val="0"/>
        <w:keepLines w:val="0"/>
        <w:shd w:val="clear" w:color="auto" w:fill="auto"/>
        <w:bidi w:val="0"/>
        <w:jc w:val="left"/>
        <w:spacing w:before="0" w:after="0" w:line="312" w:lineRule="exact"/>
        <w:ind w:left="40" w:right="0" w:firstLine="0"/>
      </w:pPr>
      <w:r>
        <w:rPr>
          <w:lang w:val="ru-RU" w:eastAsia="ru-RU" w:bidi="ru-RU"/>
          <w:w w:val="100"/>
          <w:color w:val="000000"/>
          <w:position w:val="0"/>
        </w:rPr>
        <w:t xml:space="preserve"> сложные (на смешанных вяжущих).</w:t>
      </w:r>
    </w:p>
    <w:p>
      <w:pPr>
        <w:pStyle w:val="Style12"/>
        <w:widowControl w:val="0"/>
        <w:keepNext w:val="0"/>
        <w:keepLines w:val="0"/>
        <w:shd w:val="clear" w:color="auto" w:fill="auto"/>
        <w:bidi w:val="0"/>
        <w:jc w:val="both"/>
        <w:spacing w:before="0" w:after="0" w:line="312" w:lineRule="exact"/>
        <w:ind w:left="40" w:right="0" w:firstLine="700"/>
      </w:pPr>
      <w:r>
        <w:rPr>
          <w:lang w:val="ru-RU" w:eastAsia="ru-RU" w:bidi="ru-RU"/>
          <w:w w:val="100"/>
          <w:color w:val="000000"/>
          <w:position w:val="0"/>
        </w:rPr>
        <w:t>По средней плотности растворы подразделяют на:</w:t>
      </w:r>
    </w:p>
    <w:p>
      <w:pPr>
        <w:pStyle w:val="Style12"/>
        <w:numPr>
          <w:ilvl w:val="0"/>
          <w:numId w:val="1"/>
        </w:numPr>
        <w:widowControl w:val="0"/>
        <w:keepNext w:val="0"/>
        <w:keepLines w:val="0"/>
        <w:shd w:val="clear" w:color="auto" w:fill="auto"/>
        <w:bidi w:val="0"/>
        <w:jc w:val="left"/>
        <w:spacing w:before="0" w:after="0" w:line="312" w:lineRule="exact"/>
        <w:ind w:left="40" w:right="0" w:firstLine="0"/>
      </w:pPr>
      <w:r>
        <w:rPr>
          <w:lang w:val="ru-RU" w:eastAsia="ru-RU" w:bidi="ru-RU"/>
          <w:w w:val="100"/>
          <w:color w:val="000000"/>
          <w:position w:val="0"/>
        </w:rPr>
        <w:t xml:space="preserve"> тяжелые;</w:t>
      </w:r>
    </w:p>
    <w:p>
      <w:pPr>
        <w:pStyle w:val="Style12"/>
        <w:numPr>
          <w:ilvl w:val="0"/>
          <w:numId w:val="1"/>
        </w:numPr>
        <w:widowControl w:val="0"/>
        <w:keepNext w:val="0"/>
        <w:keepLines w:val="0"/>
        <w:shd w:val="clear" w:color="auto" w:fill="auto"/>
        <w:bidi w:val="0"/>
        <w:jc w:val="left"/>
        <w:spacing w:before="0" w:after="0" w:line="288" w:lineRule="exact"/>
        <w:ind w:left="40" w:right="0" w:firstLine="0"/>
      </w:pPr>
      <w:r>
        <w:rPr>
          <w:lang w:val="ru-RU" w:eastAsia="ru-RU" w:bidi="ru-RU"/>
          <w:w w:val="100"/>
          <w:color w:val="000000"/>
          <w:position w:val="0"/>
        </w:rPr>
        <w:t xml:space="preserve"> легкие.</w:t>
      </w:r>
    </w:p>
    <w:p>
      <w:pPr>
        <w:pStyle w:val="Style12"/>
        <w:widowControl w:val="0"/>
        <w:keepNext w:val="0"/>
        <w:keepLines w:val="0"/>
        <w:shd w:val="clear" w:color="auto" w:fill="auto"/>
        <w:bidi w:val="0"/>
        <w:jc w:val="both"/>
        <w:spacing w:before="0" w:after="62" w:line="288" w:lineRule="exact"/>
        <w:ind w:left="40" w:right="20" w:firstLine="700"/>
      </w:pPr>
      <w:r>
        <w:rPr>
          <w:lang w:val="ru-RU" w:eastAsia="ru-RU" w:bidi="ru-RU"/>
          <w:w w:val="100"/>
          <w:color w:val="000000"/>
          <w:position w:val="0"/>
        </w:rPr>
        <w:t>Согласно пункту 4.3 ГОСТ 28013-98 в зависимости от подвижности растворные смеси подразделяют в соответствии с таблицей 1.</w:t>
      </w:r>
    </w:p>
    <w:tbl>
      <w:tblPr>
        <w:tblOverlap w:val="never"/>
        <w:tblLayout w:type="fixed"/>
        <w:jc w:val="left"/>
      </w:tblPr>
      <w:tblGrid>
        <w:gridCol w:w="2890"/>
        <w:gridCol w:w="4968"/>
      </w:tblGrid>
      <w:tr>
        <w:trPr>
          <w:trHeight w:val="710" w:hRule="exact"/>
        </w:trPr>
        <w:tc>
          <w:tcPr>
            <w:shd w:val="clear" w:color="auto" w:fill="FFFFFF"/>
            <w:tcBorders>
              <w:left w:val="single" w:sz="4"/>
              <w:top w:val="single" w:sz="4"/>
            </w:tcBorders>
            <w:vAlign w:val="center"/>
          </w:tcPr>
          <w:p>
            <w:pPr>
              <w:pStyle w:val="Style12"/>
              <w:framePr w:w="7858" w:wrap="notBeside" w:vAnchor="text" w:hAnchor="text" w:y="1"/>
              <w:widowControl w:val="0"/>
              <w:keepNext w:val="0"/>
              <w:keepLines w:val="0"/>
              <w:shd w:val="clear" w:color="auto" w:fill="auto"/>
              <w:bidi w:val="0"/>
              <w:jc w:val="left"/>
              <w:spacing w:before="0" w:after="60" w:line="180" w:lineRule="exact"/>
              <w:ind w:left="80" w:right="0" w:firstLine="0"/>
            </w:pPr>
            <w:r>
              <w:rPr>
                <w:rStyle w:val="CharStyle22"/>
              </w:rPr>
              <w:t>Марка по подвижности П</w:t>
            </w:r>
          </w:p>
          <w:p>
            <w:pPr>
              <w:pStyle w:val="Style12"/>
              <w:framePr w:w="7858" w:wrap="notBeside" w:vAnchor="text" w:hAnchor="text" w:y="1"/>
              <w:widowControl w:val="0"/>
              <w:keepNext w:val="0"/>
              <w:keepLines w:val="0"/>
              <w:shd w:val="clear" w:color="auto" w:fill="auto"/>
              <w:bidi w:val="0"/>
              <w:jc w:val="right"/>
              <w:spacing w:before="60" w:after="0" w:line="180" w:lineRule="exact"/>
              <w:ind w:left="0" w:right="80" w:firstLine="0"/>
            </w:pPr>
            <w:r>
              <w:rPr>
                <w:rStyle w:val="CharStyle22"/>
              </w:rPr>
              <w:t>к</w:t>
            </w:r>
          </w:p>
        </w:tc>
        <w:tc>
          <w:tcPr>
            <w:shd w:val="clear" w:color="auto" w:fill="FFFFFF"/>
            <w:tcBorders>
              <w:left w:val="single" w:sz="4"/>
              <w:right w:val="single" w:sz="4"/>
              <w:top w:val="single" w:sz="4"/>
            </w:tcBorders>
            <w:vAlign w:val="center"/>
          </w:tcPr>
          <w:p>
            <w:pPr>
              <w:pStyle w:val="Style12"/>
              <w:framePr w:w="7858" w:wrap="notBeside" w:vAnchor="text" w:hAnchor="text" w:y="1"/>
              <w:widowControl w:val="0"/>
              <w:keepNext w:val="0"/>
              <w:keepLines w:val="0"/>
              <w:shd w:val="clear" w:color="auto" w:fill="auto"/>
              <w:bidi w:val="0"/>
              <w:jc w:val="left"/>
              <w:spacing w:before="0" w:after="0" w:line="240" w:lineRule="exact"/>
              <w:ind w:left="2220" w:right="0" w:hanging="2040"/>
            </w:pPr>
            <w:r>
              <w:rPr>
                <w:rStyle w:val="CharStyle22"/>
              </w:rPr>
              <w:t>Норма подвижности по погружению конуса,| см</w:t>
            </w:r>
          </w:p>
        </w:tc>
      </w:tr>
      <w:tr>
        <w:trPr>
          <w:trHeight w:val="355" w:hRule="exact"/>
        </w:trPr>
        <w:tc>
          <w:tcPr>
            <w:shd w:val="clear" w:color="auto" w:fill="FFFFFF"/>
            <w:tcBorders>
              <w:left w:val="single" w:sz="4"/>
              <w:top w:val="single" w:sz="4"/>
            </w:tcBorders>
            <w:vAlign w:val="bottom"/>
          </w:tcPr>
          <w:p>
            <w:pPr>
              <w:pStyle w:val="Style12"/>
              <w:framePr w:w="7858" w:wrap="notBeside" w:vAnchor="text" w:hAnchor="text" w:y="1"/>
              <w:widowControl w:val="0"/>
              <w:keepNext w:val="0"/>
              <w:keepLines w:val="0"/>
              <w:shd w:val="clear" w:color="auto" w:fill="auto"/>
              <w:bidi w:val="0"/>
              <w:jc w:val="center"/>
              <w:spacing w:before="0" w:after="0" w:line="180" w:lineRule="exact"/>
              <w:ind w:left="0" w:right="0" w:firstLine="0"/>
            </w:pPr>
            <w:r>
              <w:rPr>
                <w:rStyle w:val="CharStyle22"/>
              </w:rPr>
              <w:t>П 1</w:t>
            </w:r>
          </w:p>
        </w:tc>
        <w:tc>
          <w:tcPr>
            <w:shd w:val="clear" w:color="auto" w:fill="FFFFFF"/>
            <w:tcBorders>
              <w:left w:val="single" w:sz="4"/>
              <w:right w:val="single" w:sz="4"/>
              <w:top w:val="single" w:sz="4"/>
            </w:tcBorders>
            <w:vAlign w:val="bottom"/>
          </w:tcPr>
          <w:p>
            <w:pPr>
              <w:pStyle w:val="Style12"/>
              <w:framePr w:w="7858" w:wrap="notBeside" w:vAnchor="text" w:hAnchor="text" w:y="1"/>
              <w:widowControl w:val="0"/>
              <w:keepNext w:val="0"/>
              <w:keepLines w:val="0"/>
              <w:shd w:val="clear" w:color="auto" w:fill="auto"/>
              <w:bidi w:val="0"/>
              <w:jc w:val="left"/>
              <w:spacing w:before="0" w:after="0" w:line="180" w:lineRule="exact"/>
              <w:ind w:left="1280" w:right="0" w:firstLine="0"/>
            </w:pPr>
            <w:r>
              <w:rPr>
                <w:rStyle w:val="CharStyle23"/>
              </w:rPr>
              <w:t xml:space="preserve">От </w:t>
            </w:r>
            <w:r>
              <w:rPr>
                <w:rStyle w:val="CharStyle22"/>
              </w:rPr>
              <w:t>1 до 4 включ.</w:t>
            </w:r>
          </w:p>
        </w:tc>
      </w:tr>
      <w:tr>
        <w:trPr>
          <w:trHeight w:val="206" w:hRule="exact"/>
        </w:trPr>
        <w:tc>
          <w:tcPr>
            <w:shd w:val="clear" w:color="auto" w:fill="FFFFFF"/>
            <w:tcBorders>
              <w:left w:val="single" w:sz="4"/>
            </w:tcBorders>
            <w:vAlign w:val="bottom"/>
          </w:tcPr>
          <w:p>
            <w:pPr>
              <w:pStyle w:val="Style12"/>
              <w:framePr w:w="7858" w:wrap="notBeside" w:vAnchor="text" w:hAnchor="text" w:y="1"/>
              <w:widowControl w:val="0"/>
              <w:keepNext w:val="0"/>
              <w:keepLines w:val="0"/>
              <w:shd w:val="clear" w:color="auto" w:fill="auto"/>
              <w:bidi w:val="0"/>
              <w:jc w:val="center"/>
              <w:spacing w:before="0" w:after="0" w:line="180" w:lineRule="exact"/>
              <w:ind w:left="0" w:right="0" w:firstLine="0"/>
            </w:pPr>
            <w:r>
              <w:rPr>
                <w:rStyle w:val="CharStyle22"/>
              </w:rPr>
              <w:t>к</w:t>
            </w:r>
          </w:p>
        </w:tc>
        <w:tc>
          <w:tcPr>
            <w:shd w:val="clear" w:color="auto" w:fill="FFFFFF"/>
            <w:tcBorders>
              <w:left w:val="single" w:sz="4"/>
              <w:right w:val="single" w:sz="4"/>
            </w:tcBorders>
            <w:vAlign w:val="top"/>
          </w:tcPr>
          <w:p>
            <w:pPr>
              <w:framePr w:w="7858" w:wrap="notBeside" w:vAnchor="text" w:hAnchor="text" w:y="1"/>
              <w:widowControl w:val="0"/>
              <w:rPr>
                <w:sz w:val="10"/>
                <w:szCs w:val="10"/>
              </w:rPr>
            </w:pPr>
          </w:p>
        </w:tc>
      </w:tr>
      <w:tr>
        <w:trPr>
          <w:trHeight w:val="245" w:hRule="exact"/>
        </w:trPr>
        <w:tc>
          <w:tcPr>
            <w:shd w:val="clear" w:color="auto" w:fill="FFFFFF"/>
            <w:tcBorders>
              <w:left w:val="single" w:sz="4"/>
            </w:tcBorders>
            <w:vAlign w:val="top"/>
          </w:tcPr>
          <w:p>
            <w:pPr>
              <w:pStyle w:val="Style12"/>
              <w:framePr w:w="7858" w:wrap="notBeside" w:vAnchor="text" w:hAnchor="text" w:y="1"/>
              <w:widowControl w:val="0"/>
              <w:keepNext w:val="0"/>
              <w:keepLines w:val="0"/>
              <w:shd w:val="clear" w:color="auto" w:fill="auto"/>
              <w:bidi w:val="0"/>
              <w:jc w:val="center"/>
              <w:spacing w:before="0" w:after="0" w:line="180" w:lineRule="exact"/>
              <w:ind w:left="0" w:right="0" w:firstLine="0"/>
            </w:pPr>
            <w:r>
              <w:rPr>
                <w:rStyle w:val="CharStyle22"/>
              </w:rPr>
              <w:t>П 2</w:t>
            </w:r>
          </w:p>
        </w:tc>
        <w:tc>
          <w:tcPr>
            <w:shd w:val="clear" w:color="auto" w:fill="FFFFFF"/>
            <w:tcBorders>
              <w:left w:val="single" w:sz="4"/>
              <w:right w:val="single" w:sz="4"/>
            </w:tcBorders>
            <w:vAlign w:val="top"/>
          </w:tcPr>
          <w:p>
            <w:pPr>
              <w:pStyle w:val="Style12"/>
              <w:framePr w:w="7858" w:wrap="notBeside" w:vAnchor="text" w:hAnchor="text" w:y="1"/>
              <w:widowControl w:val="0"/>
              <w:keepNext w:val="0"/>
              <w:keepLines w:val="0"/>
              <w:shd w:val="clear" w:color="auto" w:fill="auto"/>
              <w:bidi w:val="0"/>
              <w:jc w:val="left"/>
              <w:spacing w:before="0" w:after="0" w:line="180" w:lineRule="exact"/>
              <w:ind w:left="1280" w:right="0" w:firstLine="0"/>
            </w:pPr>
            <w:r>
              <w:rPr>
                <w:rStyle w:val="CharStyle22"/>
              </w:rPr>
              <w:t>Св. 4 "8 "</w:t>
            </w:r>
          </w:p>
        </w:tc>
      </w:tr>
      <w:tr>
        <w:trPr>
          <w:trHeight w:val="202" w:hRule="exact"/>
        </w:trPr>
        <w:tc>
          <w:tcPr>
            <w:shd w:val="clear" w:color="auto" w:fill="FFFFFF"/>
            <w:tcBorders>
              <w:left w:val="single" w:sz="4"/>
            </w:tcBorders>
            <w:vAlign w:val="bottom"/>
          </w:tcPr>
          <w:p>
            <w:pPr>
              <w:pStyle w:val="Style12"/>
              <w:framePr w:w="7858" w:wrap="notBeside" w:vAnchor="text" w:hAnchor="text" w:y="1"/>
              <w:widowControl w:val="0"/>
              <w:keepNext w:val="0"/>
              <w:keepLines w:val="0"/>
              <w:shd w:val="clear" w:color="auto" w:fill="auto"/>
              <w:bidi w:val="0"/>
              <w:jc w:val="center"/>
              <w:spacing w:before="0" w:after="0" w:line="180" w:lineRule="exact"/>
              <w:ind w:left="0" w:right="0" w:firstLine="0"/>
            </w:pPr>
            <w:r>
              <w:rPr>
                <w:rStyle w:val="CharStyle22"/>
              </w:rPr>
              <w:t>к</w:t>
            </w:r>
          </w:p>
        </w:tc>
        <w:tc>
          <w:tcPr>
            <w:shd w:val="clear" w:color="auto" w:fill="FFFFFF"/>
            <w:tcBorders>
              <w:left w:val="single" w:sz="4"/>
              <w:right w:val="single" w:sz="4"/>
            </w:tcBorders>
            <w:vAlign w:val="top"/>
          </w:tcPr>
          <w:p>
            <w:pPr>
              <w:framePr w:w="7858" w:wrap="notBeside" w:vAnchor="text" w:hAnchor="text" w:y="1"/>
              <w:widowControl w:val="0"/>
              <w:rPr>
                <w:sz w:val="10"/>
                <w:szCs w:val="10"/>
              </w:rPr>
            </w:pPr>
          </w:p>
        </w:tc>
      </w:tr>
      <w:tr>
        <w:trPr>
          <w:trHeight w:val="245" w:hRule="exact"/>
        </w:trPr>
        <w:tc>
          <w:tcPr>
            <w:shd w:val="clear" w:color="auto" w:fill="FFFFFF"/>
            <w:tcBorders>
              <w:left w:val="single" w:sz="4"/>
            </w:tcBorders>
            <w:vAlign w:val="center"/>
          </w:tcPr>
          <w:p>
            <w:pPr>
              <w:pStyle w:val="Style12"/>
              <w:framePr w:w="7858" w:wrap="notBeside" w:vAnchor="text" w:hAnchor="text" w:y="1"/>
              <w:widowControl w:val="0"/>
              <w:keepNext w:val="0"/>
              <w:keepLines w:val="0"/>
              <w:shd w:val="clear" w:color="auto" w:fill="auto"/>
              <w:bidi w:val="0"/>
              <w:jc w:val="center"/>
              <w:spacing w:before="0" w:after="0" w:line="180" w:lineRule="exact"/>
              <w:ind w:left="0" w:right="0" w:firstLine="0"/>
            </w:pPr>
            <w:r>
              <w:rPr>
                <w:rStyle w:val="CharStyle22"/>
              </w:rPr>
              <w:t>П 3</w:t>
            </w:r>
          </w:p>
        </w:tc>
        <w:tc>
          <w:tcPr>
            <w:shd w:val="clear" w:color="auto" w:fill="FFFFFF"/>
            <w:tcBorders>
              <w:left w:val="single" w:sz="4"/>
              <w:right w:val="single" w:sz="4"/>
            </w:tcBorders>
            <w:vAlign w:val="center"/>
          </w:tcPr>
          <w:p>
            <w:pPr>
              <w:pStyle w:val="Style12"/>
              <w:framePr w:w="7858" w:wrap="notBeside" w:vAnchor="text" w:hAnchor="text" w:y="1"/>
              <w:widowControl w:val="0"/>
              <w:keepNext w:val="0"/>
              <w:keepLines w:val="0"/>
              <w:shd w:val="clear" w:color="auto" w:fill="auto"/>
              <w:bidi w:val="0"/>
              <w:jc w:val="left"/>
              <w:spacing w:before="0" w:after="0" w:line="180" w:lineRule="exact"/>
              <w:ind w:left="1280" w:right="0" w:firstLine="0"/>
            </w:pPr>
            <w:r>
              <w:rPr>
                <w:rStyle w:val="CharStyle22"/>
              </w:rPr>
              <w:t>" 8 " 12 "</w:t>
            </w:r>
          </w:p>
        </w:tc>
      </w:tr>
      <w:tr>
        <w:trPr>
          <w:trHeight w:val="187" w:hRule="exact"/>
        </w:trPr>
        <w:tc>
          <w:tcPr>
            <w:shd w:val="clear" w:color="auto" w:fill="FFFFFF"/>
            <w:tcBorders>
              <w:left w:val="single" w:sz="4"/>
            </w:tcBorders>
            <w:vAlign w:val="bottom"/>
          </w:tcPr>
          <w:p>
            <w:pPr>
              <w:pStyle w:val="Style12"/>
              <w:framePr w:w="7858" w:wrap="notBeside" w:vAnchor="text" w:hAnchor="text" w:y="1"/>
              <w:widowControl w:val="0"/>
              <w:keepNext w:val="0"/>
              <w:keepLines w:val="0"/>
              <w:shd w:val="clear" w:color="auto" w:fill="auto"/>
              <w:bidi w:val="0"/>
              <w:jc w:val="center"/>
              <w:spacing w:before="0" w:after="0" w:line="180" w:lineRule="exact"/>
              <w:ind w:left="0" w:right="0" w:firstLine="0"/>
            </w:pPr>
            <w:r>
              <w:rPr>
                <w:rStyle w:val="CharStyle22"/>
              </w:rPr>
              <w:t>к</w:t>
            </w:r>
          </w:p>
        </w:tc>
        <w:tc>
          <w:tcPr>
            <w:shd w:val="clear" w:color="auto" w:fill="FFFFFF"/>
            <w:tcBorders>
              <w:left w:val="single" w:sz="4"/>
              <w:right w:val="single" w:sz="4"/>
            </w:tcBorders>
            <w:vAlign w:val="top"/>
          </w:tcPr>
          <w:p>
            <w:pPr>
              <w:framePr w:w="7858" w:wrap="notBeside" w:vAnchor="text" w:hAnchor="text" w:y="1"/>
              <w:widowControl w:val="0"/>
              <w:rPr>
                <w:sz w:val="10"/>
                <w:szCs w:val="10"/>
              </w:rPr>
            </w:pPr>
          </w:p>
        </w:tc>
      </w:tr>
      <w:tr>
        <w:trPr>
          <w:trHeight w:val="245" w:hRule="exact"/>
        </w:trPr>
        <w:tc>
          <w:tcPr>
            <w:shd w:val="clear" w:color="auto" w:fill="FFFFFF"/>
            <w:tcBorders>
              <w:left w:val="single" w:sz="4"/>
            </w:tcBorders>
            <w:vAlign w:val="top"/>
          </w:tcPr>
          <w:p>
            <w:pPr>
              <w:pStyle w:val="Style12"/>
              <w:framePr w:w="7858" w:wrap="notBeside" w:vAnchor="text" w:hAnchor="text" w:y="1"/>
              <w:widowControl w:val="0"/>
              <w:keepNext w:val="0"/>
              <w:keepLines w:val="0"/>
              <w:shd w:val="clear" w:color="auto" w:fill="auto"/>
              <w:bidi w:val="0"/>
              <w:jc w:val="center"/>
              <w:spacing w:before="0" w:after="0" w:line="180" w:lineRule="exact"/>
              <w:ind w:left="0" w:right="0" w:firstLine="0"/>
            </w:pPr>
            <w:r>
              <w:rPr>
                <w:rStyle w:val="CharStyle22"/>
              </w:rPr>
              <w:t>П 4</w:t>
            </w:r>
          </w:p>
        </w:tc>
        <w:tc>
          <w:tcPr>
            <w:shd w:val="clear" w:color="auto" w:fill="FFFFFF"/>
            <w:tcBorders>
              <w:left w:val="single" w:sz="4"/>
              <w:right w:val="single" w:sz="4"/>
            </w:tcBorders>
            <w:vAlign w:val="top"/>
          </w:tcPr>
          <w:p>
            <w:pPr>
              <w:pStyle w:val="Style12"/>
              <w:framePr w:w="7858" w:wrap="notBeside" w:vAnchor="text" w:hAnchor="text" w:y="1"/>
              <w:widowControl w:val="0"/>
              <w:keepNext w:val="0"/>
              <w:keepLines w:val="0"/>
              <w:shd w:val="clear" w:color="auto" w:fill="auto"/>
              <w:bidi w:val="0"/>
              <w:jc w:val="left"/>
              <w:spacing w:before="0" w:after="0" w:line="180" w:lineRule="exact"/>
              <w:ind w:left="1280" w:right="0" w:firstLine="0"/>
            </w:pPr>
            <w:r>
              <w:rPr>
                <w:rStyle w:val="CharStyle22"/>
              </w:rPr>
              <w:t>" 12 "14 "</w:t>
            </w:r>
          </w:p>
        </w:tc>
      </w:tr>
      <w:tr>
        <w:trPr>
          <w:trHeight w:val="341" w:hRule="exact"/>
        </w:trPr>
        <w:tc>
          <w:tcPr>
            <w:shd w:val="clear" w:color="auto" w:fill="FFFFFF"/>
            <w:tcBorders>
              <w:left w:val="single" w:sz="4"/>
              <w:bottom w:val="single" w:sz="4"/>
            </w:tcBorders>
            <w:vAlign w:val="top"/>
          </w:tcPr>
          <w:p>
            <w:pPr>
              <w:pStyle w:val="Style12"/>
              <w:framePr w:w="7858" w:wrap="notBeside" w:vAnchor="text" w:hAnchor="text" w:y="1"/>
              <w:widowControl w:val="0"/>
              <w:keepNext w:val="0"/>
              <w:keepLines w:val="0"/>
              <w:shd w:val="clear" w:color="auto" w:fill="auto"/>
              <w:bidi w:val="0"/>
              <w:jc w:val="center"/>
              <w:spacing w:before="0" w:after="0" w:line="180" w:lineRule="exact"/>
              <w:ind w:left="0" w:right="0" w:firstLine="0"/>
            </w:pPr>
            <w:r>
              <w:rPr>
                <w:rStyle w:val="CharStyle22"/>
              </w:rPr>
              <w:t>к</w:t>
            </w:r>
          </w:p>
        </w:tc>
        <w:tc>
          <w:tcPr>
            <w:shd w:val="clear" w:color="auto" w:fill="FFFFFF"/>
            <w:tcBorders>
              <w:left w:val="single" w:sz="4"/>
              <w:right w:val="single" w:sz="4"/>
              <w:bottom w:val="single" w:sz="4"/>
            </w:tcBorders>
            <w:vAlign w:val="bottom"/>
          </w:tcPr>
          <w:p>
            <w:pPr>
              <w:pStyle w:val="Style12"/>
              <w:framePr w:w="7858" w:wrap="notBeside" w:vAnchor="text" w:hAnchor="text" w:y="1"/>
              <w:widowControl w:val="0"/>
              <w:keepNext w:val="0"/>
              <w:keepLines w:val="0"/>
              <w:shd w:val="clear" w:color="auto" w:fill="auto"/>
              <w:bidi w:val="0"/>
              <w:jc w:val="right"/>
              <w:spacing w:before="0" w:after="0" w:line="180" w:lineRule="exact"/>
              <w:ind w:left="0" w:right="40" w:firstLine="0"/>
            </w:pPr>
            <w:r>
              <w:rPr>
                <w:rStyle w:val="CharStyle22"/>
              </w:rPr>
              <w:t>;</w:t>
            </w:r>
          </w:p>
        </w:tc>
      </w:tr>
    </w:tbl>
    <w:p>
      <w:pPr>
        <w:widowControl w:val="0"/>
        <w:rPr>
          <w:sz w:val="2"/>
          <w:szCs w:val="2"/>
        </w:rPr>
      </w:pPr>
    </w:p>
    <w:p>
      <w:pPr>
        <w:pStyle w:val="Style12"/>
        <w:widowControl w:val="0"/>
        <w:keepNext w:val="0"/>
        <w:keepLines w:val="0"/>
        <w:shd w:val="clear" w:color="auto" w:fill="auto"/>
        <w:bidi w:val="0"/>
        <w:jc w:val="both"/>
        <w:spacing w:before="64" w:after="0"/>
        <w:ind w:left="40" w:right="20" w:firstLine="700"/>
      </w:pPr>
      <w:r>
        <w:rPr>
          <w:lang w:val="ru-RU" w:eastAsia="ru-RU" w:bidi="ru-RU"/>
          <w:w w:val="100"/>
          <w:color w:val="000000"/>
          <w:position w:val="0"/>
        </w:rPr>
        <w:t>В соответствии с инструкцией по заполнению заявки по данной позиции предполагается использование раствора по подвижности на выбор Пк1 или Пк2 и обязательно ПкЗ.</w:t>
      </w:r>
    </w:p>
    <w:p>
      <w:pPr>
        <w:pStyle w:val="Style12"/>
        <w:widowControl w:val="0"/>
        <w:keepNext w:val="0"/>
        <w:keepLines w:val="0"/>
        <w:shd w:val="clear" w:color="auto" w:fill="auto"/>
        <w:bidi w:val="0"/>
        <w:jc w:val="both"/>
        <w:spacing w:before="0" w:after="0"/>
        <w:ind w:left="40" w:right="20" w:firstLine="700"/>
      </w:pPr>
      <w:r>
        <w:rPr>
          <w:lang w:val="ru-RU" w:eastAsia="ru-RU" w:bidi="ru-RU"/>
          <w:w w:val="100"/>
          <w:color w:val="000000"/>
          <w:position w:val="0"/>
        </w:rPr>
        <w:t>При этом, подателем жалобы не представлено доказательств того, что исходя из требований ГОСТ 28013-98 от классификации марки раствора но подвижности зависит правильное указание иных показателей материала, например по применяемым вяжущим, по средней плотности, по марке прочности или морозостойкости.</w:t>
      </w:r>
    </w:p>
    <w:p>
      <w:pPr>
        <w:pStyle w:val="Style12"/>
        <w:widowControl w:val="0"/>
        <w:keepNext w:val="0"/>
        <w:keepLines w:val="0"/>
        <w:shd w:val="clear" w:color="auto" w:fill="auto"/>
        <w:bidi w:val="0"/>
        <w:jc w:val="both"/>
        <w:spacing w:before="0" w:after="0"/>
        <w:ind w:left="40" w:right="20" w:firstLine="700"/>
      </w:pPr>
      <w:r>
        <w:rPr>
          <w:lang w:val="ru-RU" w:eastAsia="ru-RU" w:bidi="ru-RU"/>
          <w:w w:val="100"/>
          <w:color w:val="000000"/>
          <w:position w:val="0"/>
        </w:rPr>
        <w:t xml:space="preserve">В связи с чем, Комиссия Управления приходит к выводу о </w:t>
      </w:r>
      <w:r>
        <w:rPr>
          <w:rStyle w:val="CharStyle14"/>
        </w:rPr>
        <w:t>необоснованности</w:t>
      </w:r>
      <w:r>
        <w:rPr>
          <w:lang w:val="ru-RU" w:eastAsia="ru-RU" w:bidi="ru-RU"/>
          <w:w w:val="100"/>
          <w:color w:val="000000"/>
          <w:position w:val="0"/>
        </w:rPr>
        <w:t xml:space="preserve"> </w:t>
      </w:r>
      <w:r>
        <w:rPr>
          <w:rStyle w:val="CharStyle14"/>
        </w:rPr>
        <w:t>рассматриваемого довода жалобы</w:t>
      </w:r>
      <w:r>
        <w:rPr>
          <w:lang w:val="ru-RU" w:eastAsia="ru-RU" w:bidi="ru-RU"/>
          <w:w w:val="100"/>
          <w:color w:val="000000"/>
          <w:position w:val="0"/>
        </w:rPr>
        <w:t>.</w:t>
      </w:r>
    </w:p>
    <w:p>
      <w:pPr>
        <w:pStyle w:val="Style24"/>
        <w:numPr>
          <w:ilvl w:val="0"/>
          <w:numId w:val="17"/>
        </w:numPr>
        <w:tabs>
          <w:tab w:leader="none" w:pos="1097" w:val="left"/>
        </w:tabs>
        <w:widowControl w:val="0"/>
        <w:keepNext w:val="0"/>
        <w:keepLines w:val="0"/>
        <w:shd w:val="clear" w:color="auto" w:fill="auto"/>
        <w:bidi w:val="0"/>
        <w:spacing w:before="0" w:after="0"/>
        <w:ind w:left="40" w:right="20"/>
      </w:pPr>
      <w:r>
        <w:rPr>
          <w:rStyle w:val="CharStyle26"/>
          <w:i w:val="0"/>
          <w:iCs w:val="0"/>
        </w:rPr>
        <w:t>В позиции № 38 в Приложении № 3 указано «</w:t>
      </w:r>
      <w:r>
        <w:rPr>
          <w:rStyle w:val="CharStyle27"/>
          <w:i w:val="0"/>
          <w:iCs w:val="0"/>
        </w:rPr>
        <w:t>Трубки тип 1</w:t>
      </w:r>
      <w:r>
        <w:rPr>
          <w:rStyle w:val="CharStyle26"/>
          <w:i w:val="0"/>
          <w:iCs w:val="0"/>
        </w:rPr>
        <w:t xml:space="preserve">». в отношении которого установлено, в том числе, следующее: </w:t>
      </w:r>
      <w:r>
        <w:rPr>
          <w:lang w:val="ru-RU" w:eastAsia="ru-RU" w:bidi="ru-RU"/>
          <w:w w:val="100"/>
          <w:spacing w:val="0"/>
          <w:color w:val="000000"/>
          <w:position w:val="0"/>
        </w:rPr>
        <w:t xml:space="preserve">должны быть предназначены для защиты и дополнительной изоляции токоведущих элементов различных электротехнических </w:t>
      </w:r>
      <w:r>
        <w:rPr>
          <w:rStyle w:val="CharStyle28"/>
          <w:i/>
          <w:iCs/>
        </w:rPr>
        <w:t xml:space="preserve">устройств, работающих при максимальном напряжении до </w:t>
      </w:r>
      <w:r>
        <w:rPr>
          <w:rStyle w:val="CharStyle29"/>
          <w:i/>
          <w:iCs/>
        </w:rPr>
        <w:t>1000В</w:t>
      </w:r>
      <w:r>
        <w:rPr>
          <w:rStyle w:val="CharStyle28"/>
          <w:i/>
          <w:iCs/>
        </w:rPr>
        <w:t xml:space="preserve"> постоянного и </w:t>
      </w:r>
      <w:r>
        <w:rPr>
          <w:lang w:val="ru-RU" w:eastAsia="ru-RU" w:bidi="ru-RU"/>
          <w:w w:val="100"/>
          <w:spacing w:val="0"/>
          <w:color w:val="000000"/>
          <w:position w:val="0"/>
        </w:rPr>
        <w:t xml:space="preserve">переменного тока частотой до </w:t>
      </w:r>
      <w:r>
        <w:rPr>
          <w:rStyle w:val="CharStyle30"/>
          <w:i/>
          <w:iCs/>
        </w:rPr>
        <w:t>50Гц</w:t>
      </w:r>
      <w:r>
        <w:rPr>
          <w:rStyle w:val="CharStyle27"/>
          <w:i w:val="0"/>
          <w:iCs w:val="0"/>
        </w:rPr>
        <w:t>'</w:t>
      </w:r>
    </w:p>
    <w:p>
      <w:pPr>
        <w:pStyle w:val="Style12"/>
        <w:widowControl w:val="0"/>
        <w:keepNext w:val="0"/>
        <w:keepLines w:val="0"/>
        <w:shd w:val="clear" w:color="auto" w:fill="auto"/>
        <w:bidi w:val="0"/>
        <w:jc w:val="both"/>
        <w:spacing w:before="0" w:after="0"/>
        <w:ind w:left="40" w:right="20" w:firstLine="700"/>
      </w:pPr>
      <w:r>
        <w:rPr>
          <w:lang w:val="ru-RU" w:eastAsia="ru-RU" w:bidi="ru-RU"/>
          <w:w w:val="100"/>
          <w:color w:val="000000"/>
          <w:position w:val="0"/>
        </w:rPr>
        <w:t>Исходя положений инструкции по заполнению заявок - символ «'» (надстрочная запятая) свидетельствует о том. что требуемое значение вые зависимости от применения иных символов (слов, знаков и т.п.) не может быть изменено участником закупки.</w:t>
      </w:r>
    </w:p>
    <w:p>
      <w:pPr>
        <w:pStyle w:val="Style24"/>
        <w:widowControl w:val="0"/>
        <w:keepNext w:val="0"/>
        <w:keepLines w:val="0"/>
        <w:shd w:val="clear" w:color="auto" w:fill="auto"/>
        <w:bidi w:val="0"/>
        <w:spacing w:before="0" w:after="0"/>
        <w:ind w:left="40" w:right="20"/>
      </w:pPr>
      <w:r>
        <w:rPr>
          <w:rStyle w:val="CharStyle26"/>
          <w:i w:val="0"/>
          <w:iCs w:val="0"/>
        </w:rPr>
        <w:t xml:space="preserve">При этом, в позиции № 43 «Трубки тип 2» указано - </w:t>
      </w:r>
      <w:r>
        <w:rPr>
          <w:lang w:val="ru-RU" w:eastAsia="ru-RU" w:bidi="ru-RU"/>
          <w:w w:val="100"/>
          <w:spacing w:val="0"/>
          <w:color w:val="000000"/>
          <w:position w:val="0"/>
        </w:rPr>
        <w:t xml:space="preserve">должны быть предназначены для защиты и дополнительной изоляции токоведущих элементов различных электротехнических устройств, работающих при максимальном напряжении до 1000В постоянного и переменного тока частотой до </w:t>
      </w:r>
      <w:r>
        <w:rPr>
          <w:rStyle w:val="CharStyle30"/>
          <w:i/>
          <w:iCs/>
        </w:rPr>
        <w:t>50Гц</w:t>
      </w:r>
    </w:p>
    <w:p>
      <w:pPr>
        <w:pStyle w:val="Style24"/>
        <w:widowControl w:val="0"/>
        <w:keepNext w:val="0"/>
        <w:keepLines w:val="0"/>
        <w:shd w:val="clear" w:color="auto" w:fill="auto"/>
        <w:bidi w:val="0"/>
        <w:spacing w:before="0" w:after="0"/>
        <w:ind w:left="40" w:right="20"/>
      </w:pPr>
      <w:r>
        <w:rPr>
          <w:rStyle w:val="CharStyle26"/>
          <w:i w:val="0"/>
          <w:iCs w:val="0"/>
        </w:rPr>
        <w:t xml:space="preserve">В позиции № 62 «Трубки тип 3» указано - </w:t>
      </w:r>
      <w:r>
        <w:rPr>
          <w:lang w:val="ru-RU" w:eastAsia="ru-RU" w:bidi="ru-RU"/>
          <w:w w:val="100"/>
          <w:spacing w:val="0"/>
          <w:color w:val="000000"/>
          <w:position w:val="0"/>
        </w:rPr>
        <w:t xml:space="preserve">должны быть предназначены для защиты и дополнительной изоляции токоведущих элементов различных электротехнических устройств, работающих при максимальном напряэюении до </w:t>
      </w:r>
      <w:r>
        <w:rPr>
          <w:rStyle w:val="CharStyle30"/>
          <w:i/>
          <w:iCs/>
        </w:rPr>
        <w:t>1000В'</w:t>
      </w:r>
      <w:r>
        <w:rPr>
          <w:lang w:val="ru-RU" w:eastAsia="ru-RU" w:bidi="ru-RU"/>
          <w:w w:val="100"/>
          <w:spacing w:val="0"/>
          <w:color w:val="000000"/>
          <w:position w:val="0"/>
        </w:rPr>
        <w:t xml:space="preserve"> постоянного и переменного тока частотой до </w:t>
      </w:r>
      <w:r>
        <w:rPr>
          <w:rStyle w:val="CharStyle30"/>
          <w:i/>
          <w:iCs/>
        </w:rPr>
        <w:t>50Гц</w:t>
      </w:r>
      <w:r>
        <w:rPr>
          <w:rStyle w:val="CharStyle27"/>
          <w:i w:val="0"/>
          <w:iCs w:val="0"/>
        </w:rPr>
        <w:t xml:space="preserve"> ’.</w:t>
      </w:r>
    </w:p>
    <w:p>
      <w:pPr>
        <w:pStyle w:val="Style12"/>
        <w:widowControl w:val="0"/>
        <w:keepNext w:val="0"/>
        <w:keepLines w:val="0"/>
        <w:shd w:val="clear" w:color="auto" w:fill="auto"/>
        <w:bidi w:val="0"/>
        <w:jc w:val="both"/>
        <w:spacing w:before="0" w:after="0"/>
        <w:ind w:left="40" w:right="20" w:firstLine="700"/>
      </w:pPr>
      <w:r>
        <w:rPr>
          <w:lang w:val="ru-RU" w:eastAsia="ru-RU" w:bidi="ru-RU"/>
          <w:w w:val="100"/>
          <w:color w:val="000000"/>
          <w:position w:val="0"/>
        </w:rPr>
        <w:t>Таким образом, в двух случаях (позиции № 38. 43) документации об электронном аукционе показатели установлены заказчиком с использованием символа «’» только в отношении частоты, а в позиции № 62 но аналогичному материалу используется символ «'» (надстрочная запятая) как в отношении напряжения, так и в отношении частоты.</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В соответствии с пунктом 7.3.2 документации об электронном аукционе в отношении материала трубки применяется ГОСТ 19034-82. Трубки из поливинилхлоридного пластиката. Технические условия.</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Согласно пункту 6 ГОСТ 19034-82 стандарт распространяется на трубки из поливинилхлоридного пластиката тип 305 по ГОСТ 17675-87, предназначенные для зашиты и дополнительной изоляции токоведущих элементов различных электротехнических устройств, работающих при напряжении до 1000 В постоянного и переменного тока частотой до 50 Гц.</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При рассмотрении жалобы представители заказчика пояснили, что отсутствие символа «'» в позициях № 38. 43 может быть следствием технической ошибки.</w:t>
      </w:r>
    </w:p>
    <w:p>
      <w:pPr>
        <w:pStyle w:val="Style12"/>
        <w:widowControl w:val="0"/>
        <w:keepNext w:val="0"/>
        <w:keepLines w:val="0"/>
        <w:shd w:val="clear" w:color="auto" w:fill="auto"/>
        <w:bidi w:val="0"/>
        <w:jc w:val="both"/>
        <w:spacing w:before="0" w:after="0"/>
        <w:ind w:left="20" w:right="0" w:firstLine="700"/>
      </w:pPr>
      <w:r>
        <w:rPr>
          <w:lang w:val="ru-RU" w:eastAsia="ru-RU" w:bidi="ru-RU"/>
          <w:w w:val="100"/>
          <w:color w:val="000000"/>
          <w:position w:val="0"/>
        </w:rPr>
        <w:t>Как следует из протокола рассмотрения заявок на участие в электронном аукционе от</w:t>
      </w:r>
    </w:p>
    <w:p>
      <w:pPr>
        <w:pStyle w:val="Style12"/>
        <w:numPr>
          <w:ilvl w:val="0"/>
          <w:numId w:val="19"/>
        </w:numPr>
        <w:tabs>
          <w:tab w:leader="none" w:pos="1354" w:val="left"/>
        </w:tabs>
        <w:widowControl w:val="0"/>
        <w:keepNext w:val="0"/>
        <w:keepLines w:val="0"/>
        <w:shd w:val="clear" w:color="auto" w:fill="auto"/>
        <w:bidi w:val="0"/>
        <w:jc w:val="both"/>
        <w:spacing w:before="0" w:after="0"/>
        <w:ind w:left="20" w:right="20" w:firstLine="0"/>
      </w:pPr>
      <w:r>
        <w:rPr>
          <w:lang w:val="ru-RU" w:eastAsia="ru-RU" w:bidi="ru-RU"/>
          <w:w w:val="100"/>
          <w:color w:val="000000"/>
          <w:position w:val="0"/>
        </w:rPr>
        <w:t xml:space="preserve">никто из участников не был отклонен по данному основанию, в тоже время участники закупки № 3 и № 7 (допущенные к участию в аукционе) в позициях № 38. 43 указали показатели напряжение 660 В. частоты 50 Гц. а в позиции № 62 показатели </w:t>
      </w:r>
      <w:r>
        <w:rPr>
          <w:rStyle w:val="CharStyle17"/>
        </w:rPr>
        <w:t xml:space="preserve">напряжения и </w:t>
      </w:r>
      <w:r>
        <w:rPr>
          <w:lang w:val="ru-RU" w:eastAsia="ru-RU" w:bidi="ru-RU"/>
          <w:w w:val="100"/>
          <w:color w:val="000000"/>
          <w:position w:val="0"/>
        </w:rPr>
        <w:t>частоты неизменные 1000 В и 50 Гц соответственно.</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 xml:space="preserve">Таким образом. Комиссия Управления приходит к выводу </w:t>
      </w:r>
      <w:r>
        <w:rPr>
          <w:rStyle w:val="CharStyle17"/>
        </w:rPr>
        <w:t xml:space="preserve">о </w:t>
      </w:r>
      <w:r>
        <w:rPr>
          <w:rStyle w:val="CharStyle31"/>
        </w:rPr>
        <w:t>необоснованности довода</w:t>
      </w:r>
      <w:r>
        <w:rPr>
          <w:rStyle w:val="CharStyle17"/>
        </w:rPr>
        <w:t xml:space="preserve"> </w:t>
      </w:r>
      <w:r>
        <w:rPr>
          <w:rStyle w:val="CharStyle14"/>
        </w:rPr>
        <w:t>жалобы</w:t>
      </w:r>
      <w:r>
        <w:rPr>
          <w:lang w:val="ru-RU" w:eastAsia="ru-RU" w:bidi="ru-RU"/>
          <w:w w:val="100"/>
          <w:color w:val="000000"/>
          <w:position w:val="0"/>
        </w:rPr>
        <w:t>. В тоже время, отмечает, что подобное указание показателей в аналогичных позициях является некорректным.</w:t>
      </w:r>
    </w:p>
    <w:p>
      <w:pPr>
        <w:pStyle w:val="Style12"/>
        <w:numPr>
          <w:ilvl w:val="0"/>
          <w:numId w:val="17"/>
        </w:numPr>
        <w:tabs>
          <w:tab w:leader="none" w:pos="1230" w:val="left"/>
        </w:tabs>
        <w:widowControl w:val="0"/>
        <w:keepNext w:val="0"/>
        <w:keepLines w:val="0"/>
        <w:shd w:val="clear" w:color="auto" w:fill="auto"/>
        <w:bidi w:val="0"/>
        <w:jc w:val="both"/>
        <w:spacing w:before="0" w:after="0"/>
        <w:ind w:left="20" w:right="20" w:firstLine="700"/>
      </w:pPr>
      <w:r>
        <w:rPr>
          <w:rStyle w:val="CharStyle14"/>
        </w:rPr>
        <w:t>В позиции № 39 Приложения № 3 указан «прокат полосовой тин 1». в отношении</w:t>
      </w:r>
      <w:r>
        <w:rPr>
          <w:lang w:val="ru-RU" w:eastAsia="ru-RU" w:bidi="ru-RU"/>
          <w:w w:val="100"/>
          <w:color w:val="000000"/>
          <w:position w:val="0"/>
        </w:rPr>
        <w:t xml:space="preserve"> </w:t>
      </w:r>
      <w:r>
        <w:rPr>
          <w:rStyle w:val="CharStyle14"/>
        </w:rPr>
        <w:t>которого установлено, в том числе, следующее:</w:t>
      </w:r>
    </w:p>
    <w:p>
      <w:pPr>
        <w:pStyle w:val="Style12"/>
        <w:widowControl w:val="0"/>
        <w:keepNext w:val="0"/>
        <w:keepLines w:val="0"/>
        <w:shd w:val="clear" w:color="auto" w:fill="auto"/>
        <w:bidi w:val="0"/>
        <w:jc w:val="both"/>
        <w:spacing w:before="0" w:after="0"/>
        <w:ind w:left="20" w:right="0" w:firstLine="700"/>
      </w:pPr>
      <w:r>
        <w:rPr>
          <w:lang w:val="ru-RU" w:eastAsia="ru-RU" w:bidi="ru-RU"/>
          <w:w w:val="100"/>
          <w:color w:val="000000"/>
          <w:position w:val="0"/>
        </w:rPr>
        <w:t>Точность прокатки по толщине должна быть БТ1:В Г1 ;БТ2;ВТ2</w:t>
      </w:r>
    </w:p>
    <w:p>
      <w:pPr>
        <w:pStyle w:val="Style12"/>
        <w:widowControl w:val="0"/>
        <w:keepNext w:val="0"/>
        <w:keepLines w:val="0"/>
        <w:shd w:val="clear" w:color="auto" w:fill="auto"/>
        <w:bidi w:val="0"/>
        <w:jc w:val="both"/>
        <w:spacing w:before="0" w:after="0"/>
        <w:ind w:left="20" w:right="0" w:firstLine="700"/>
      </w:pPr>
      <w:r>
        <w:rPr>
          <w:lang w:val="ru-RU" w:eastAsia="ru-RU" w:bidi="ru-RU"/>
          <w:w w:val="100"/>
          <w:color w:val="000000"/>
          <w:position w:val="0"/>
        </w:rPr>
        <w:t>Точность прокатки по ширине должна быть БШ1:ВШ1,БШ2;ВШ2</w:t>
      </w:r>
    </w:p>
    <w:p>
      <w:pPr>
        <w:pStyle w:val="Style12"/>
        <w:widowControl w:val="0"/>
        <w:keepNext w:val="0"/>
        <w:keepLines w:val="0"/>
        <w:shd w:val="clear" w:color="auto" w:fill="auto"/>
        <w:bidi w:val="0"/>
        <w:jc w:val="both"/>
        <w:spacing w:before="0" w:after="0"/>
        <w:ind w:left="20" w:right="0" w:firstLine="700"/>
      </w:pPr>
      <w:r>
        <w:rPr>
          <w:lang w:val="ru-RU" w:eastAsia="ru-RU" w:bidi="ru-RU"/>
          <w:w w:val="100"/>
          <w:color w:val="000000"/>
          <w:position w:val="0"/>
        </w:rPr>
        <w:t>Группа притупления углов должно быть ВУ:БУ</w:t>
      </w:r>
    </w:p>
    <w:p>
      <w:pPr>
        <w:pStyle w:val="Style12"/>
        <w:widowControl w:val="0"/>
        <w:keepNext w:val="0"/>
        <w:keepLines w:val="0"/>
        <w:shd w:val="clear" w:color="auto" w:fill="auto"/>
        <w:bidi w:val="0"/>
        <w:jc w:val="both"/>
        <w:spacing w:before="0" w:after="0"/>
        <w:ind w:left="20" w:right="0" w:firstLine="700"/>
      </w:pPr>
      <w:r>
        <w:rPr>
          <w:rStyle w:val="CharStyle14"/>
        </w:rPr>
        <w:t>Ширина должна быть более 36мм</w:t>
      </w:r>
    </w:p>
    <w:p>
      <w:pPr>
        <w:pStyle w:val="Style12"/>
        <w:widowControl w:val="0"/>
        <w:keepNext w:val="0"/>
        <w:keepLines w:val="0"/>
        <w:shd w:val="clear" w:color="auto" w:fill="auto"/>
        <w:bidi w:val="0"/>
        <w:jc w:val="both"/>
        <w:spacing w:before="0" w:after="0"/>
        <w:ind w:left="20" w:right="0" w:firstLine="700"/>
      </w:pPr>
      <w:r>
        <w:rPr>
          <w:rStyle w:val="CharStyle14"/>
        </w:rPr>
        <w:t>Толщина не должна быть более 8мм</w:t>
      </w:r>
    </w:p>
    <w:p>
      <w:pPr>
        <w:pStyle w:val="Style12"/>
        <w:widowControl w:val="0"/>
        <w:keepNext w:val="0"/>
        <w:keepLines w:val="0"/>
        <w:shd w:val="clear" w:color="auto" w:fill="auto"/>
        <w:bidi w:val="0"/>
        <w:jc w:val="both"/>
        <w:spacing w:before="0" w:after="0"/>
        <w:ind w:left="20" w:right="0" w:firstLine="700"/>
      </w:pPr>
      <w:r>
        <w:rPr>
          <w:rStyle w:val="CharStyle14"/>
        </w:rPr>
        <w:t>Масса должна быть более 1.1 Зкг</w:t>
      </w:r>
    </w:p>
    <w:p>
      <w:pPr>
        <w:pStyle w:val="Style12"/>
        <w:widowControl w:val="0"/>
        <w:keepNext w:val="0"/>
        <w:keepLines w:val="0"/>
        <w:shd w:val="clear" w:color="auto" w:fill="auto"/>
        <w:bidi w:val="0"/>
        <w:jc w:val="both"/>
        <w:spacing w:before="0" w:after="0"/>
        <w:ind w:left="20" w:right="20" w:firstLine="700"/>
      </w:pPr>
      <w:r>
        <w:rPr>
          <w:rStyle w:val="CharStyle14"/>
        </w:rPr>
        <w:t>Также в позиции № 55 Приложения № 3 указан «прокат полосовой тип 2», в</w:t>
      </w:r>
      <w:r>
        <w:rPr>
          <w:lang w:val="ru-RU" w:eastAsia="ru-RU" w:bidi="ru-RU"/>
          <w:w w:val="100"/>
          <w:color w:val="000000"/>
          <w:position w:val="0"/>
        </w:rPr>
        <w:t xml:space="preserve"> </w:t>
      </w:r>
      <w:r>
        <w:rPr>
          <w:rStyle w:val="CharStyle14"/>
        </w:rPr>
        <w:t>отношении которого установлено, в том числе, следующее:</w:t>
      </w:r>
    </w:p>
    <w:p>
      <w:pPr>
        <w:pStyle w:val="Style12"/>
        <w:widowControl w:val="0"/>
        <w:keepNext w:val="0"/>
        <w:keepLines w:val="0"/>
        <w:shd w:val="clear" w:color="auto" w:fill="auto"/>
        <w:bidi w:val="0"/>
        <w:jc w:val="both"/>
        <w:spacing w:before="0" w:after="0"/>
        <w:ind w:left="20" w:right="0" w:firstLine="700"/>
      </w:pPr>
      <w:r>
        <w:rPr>
          <w:lang w:val="ru-RU" w:eastAsia="ru-RU" w:bidi="ru-RU"/>
          <w:w w:val="100"/>
          <w:color w:val="000000"/>
          <w:position w:val="0"/>
        </w:rPr>
        <w:t>Точность прокатки по толщине должна быть БТ1 ;ВТ1;БТ2;ВТ2</w:t>
      </w:r>
    </w:p>
    <w:p>
      <w:pPr>
        <w:pStyle w:val="Style12"/>
        <w:widowControl w:val="0"/>
        <w:keepNext w:val="0"/>
        <w:keepLines w:val="0"/>
        <w:shd w:val="clear" w:color="auto" w:fill="auto"/>
        <w:bidi w:val="0"/>
        <w:jc w:val="both"/>
        <w:spacing w:before="0" w:after="0"/>
        <w:ind w:left="20" w:right="0" w:firstLine="700"/>
      </w:pPr>
      <w:r>
        <w:rPr>
          <w:lang w:val="ru-RU" w:eastAsia="ru-RU" w:bidi="ru-RU"/>
          <w:w w:val="100"/>
          <w:color w:val="000000"/>
          <w:position w:val="0"/>
        </w:rPr>
        <w:t xml:space="preserve">Точность прокатки по ширине должна быть БШ1 </w:t>
      </w:r>
      <w:r>
        <w:rPr>
          <w:lang w:val="en-US" w:eastAsia="en-US" w:bidi="en-US"/>
          <w:w w:val="100"/>
          <w:color w:val="000000"/>
          <w:position w:val="0"/>
        </w:rPr>
        <w:t>:BI11</w:t>
      </w:r>
      <w:r>
        <w:rPr>
          <w:lang w:val="ru-RU" w:eastAsia="ru-RU" w:bidi="ru-RU"/>
          <w:w w:val="100"/>
          <w:color w:val="000000"/>
          <w:position w:val="0"/>
        </w:rPr>
        <w:t>1 :БШ2:ВШ2</w:t>
      </w:r>
    </w:p>
    <w:p>
      <w:pPr>
        <w:pStyle w:val="Style12"/>
        <w:widowControl w:val="0"/>
        <w:keepNext w:val="0"/>
        <w:keepLines w:val="0"/>
        <w:shd w:val="clear" w:color="auto" w:fill="auto"/>
        <w:bidi w:val="0"/>
        <w:jc w:val="both"/>
        <w:spacing w:before="0" w:after="0"/>
        <w:ind w:left="20" w:right="0" w:firstLine="700"/>
      </w:pPr>
      <w:r>
        <w:rPr>
          <w:rStyle w:val="CharStyle14"/>
        </w:rPr>
        <w:t>Ширина должна быть более 50мм</w:t>
      </w:r>
    </w:p>
    <w:p>
      <w:pPr>
        <w:pStyle w:val="Style12"/>
        <w:widowControl w:val="0"/>
        <w:keepNext w:val="0"/>
        <w:keepLines w:val="0"/>
        <w:shd w:val="clear" w:color="auto" w:fill="auto"/>
        <w:bidi w:val="0"/>
        <w:jc w:val="both"/>
        <w:spacing w:before="0" w:after="0"/>
        <w:ind w:left="20" w:right="0" w:firstLine="700"/>
      </w:pPr>
      <w:r>
        <w:rPr>
          <w:rStyle w:val="CharStyle14"/>
        </w:rPr>
        <w:t>Толщина должна быть 4. 5мм</w:t>
      </w:r>
    </w:p>
    <w:p>
      <w:pPr>
        <w:pStyle w:val="Style12"/>
        <w:widowControl w:val="0"/>
        <w:keepNext w:val="0"/>
        <w:keepLines w:val="0"/>
        <w:shd w:val="clear" w:color="auto" w:fill="auto"/>
        <w:bidi w:val="0"/>
        <w:jc w:val="both"/>
        <w:spacing w:before="0" w:after="0"/>
        <w:ind w:left="20" w:right="0" w:firstLine="700"/>
      </w:pPr>
      <w:r>
        <w:rPr>
          <w:rStyle w:val="CharStyle14"/>
        </w:rPr>
        <w:t>Масса не должна быть более 2.748кг/м</w:t>
      </w:r>
    </w:p>
    <w:p>
      <w:pPr>
        <w:pStyle w:val="Style12"/>
        <w:widowControl w:val="0"/>
        <w:keepNext w:val="0"/>
        <w:keepLines w:val="0"/>
        <w:shd w:val="clear" w:color="auto" w:fill="auto"/>
        <w:bidi w:val="0"/>
        <w:jc w:val="both"/>
        <w:spacing w:before="0" w:after="0"/>
        <w:ind w:left="20" w:right="0" w:firstLine="700"/>
      </w:pPr>
      <w:r>
        <w:rPr>
          <w:lang w:val="ru-RU" w:eastAsia="ru-RU" w:bidi="ru-RU"/>
          <w:w w:val="100"/>
          <w:color w:val="000000"/>
          <w:position w:val="0"/>
        </w:rPr>
        <w:t>Притупление углов не должно быть более Змм</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В соответствии с пунктом 7.3.2 документации об электронном аукционе в отношении материала прокат полосовой применяется ГОСТ 103-2006 Межгосударственный стандарт. Прокат сортовой стальной горячекатаный полосовой. Сортамент.</w:t>
      </w:r>
    </w:p>
    <w:p>
      <w:pPr>
        <w:pStyle w:val="Style12"/>
        <w:widowControl w:val="0"/>
        <w:keepNext w:val="0"/>
        <w:keepLines w:val="0"/>
        <w:shd w:val="clear" w:color="auto" w:fill="auto"/>
        <w:bidi w:val="0"/>
        <w:jc w:val="left"/>
        <w:spacing w:before="0" w:after="0"/>
        <w:ind w:left="720" w:right="2940" w:firstLine="0"/>
      </w:pPr>
      <w:r>
        <w:rPr>
          <w:lang w:val="ru-RU" w:eastAsia="ru-RU" w:bidi="ru-RU"/>
          <w:w w:val="100"/>
          <w:color w:val="000000"/>
          <w:position w:val="0"/>
        </w:rPr>
        <w:t xml:space="preserve">Согласно пункту 2.1 ГОСТ 103-2006 прокат подразделяют: </w:t>
      </w:r>
      <w:r>
        <w:rPr>
          <w:rStyle w:val="CharStyle14"/>
        </w:rPr>
        <w:t>по точности прокатки:</w:t>
      </w:r>
      <w:r>
        <w:rPr>
          <w:lang w:val="ru-RU" w:eastAsia="ru-RU" w:bidi="ru-RU"/>
          <w:w w:val="100"/>
          <w:color w:val="000000"/>
          <w:position w:val="0"/>
        </w:rPr>
        <w:t xml:space="preserve"> </w:t>
      </w:r>
      <w:r>
        <w:rPr>
          <w:rStyle w:val="CharStyle14"/>
        </w:rPr>
        <w:t>по толщине:</w:t>
      </w:r>
    </w:p>
    <w:p>
      <w:pPr>
        <w:pStyle w:val="Style12"/>
        <w:widowControl w:val="0"/>
        <w:keepNext w:val="0"/>
        <w:keepLines w:val="0"/>
        <w:shd w:val="clear" w:color="auto" w:fill="auto"/>
        <w:bidi w:val="0"/>
        <w:jc w:val="left"/>
        <w:spacing w:before="0" w:after="0"/>
        <w:ind w:left="720" w:right="6260" w:firstLine="0"/>
      </w:pPr>
      <w:r>
        <w:rPr>
          <w:lang w:val="ru-RU" w:eastAsia="ru-RU" w:bidi="ru-RU"/>
          <w:w w:val="100"/>
          <w:color w:val="000000"/>
          <w:position w:val="0"/>
        </w:rPr>
        <w:t xml:space="preserve">повышенной - Б Г1. БТ2. БТЗ; обычной - ВТ 1. ВТ2, ВТЗ; </w:t>
      </w:r>
      <w:r>
        <w:rPr>
          <w:rStyle w:val="CharStyle14"/>
        </w:rPr>
        <w:t>по ширине:</w:t>
      </w:r>
    </w:p>
    <w:p>
      <w:pPr>
        <w:pStyle w:val="Style12"/>
        <w:widowControl w:val="0"/>
        <w:keepNext w:val="0"/>
        <w:keepLines w:val="0"/>
        <w:shd w:val="clear" w:color="auto" w:fill="auto"/>
        <w:bidi w:val="0"/>
        <w:jc w:val="left"/>
        <w:spacing w:before="0" w:after="0"/>
        <w:ind w:left="720" w:right="5900" w:firstLine="0"/>
      </w:pPr>
      <w:r>
        <w:rPr>
          <w:lang w:val="ru-RU" w:eastAsia="ru-RU" w:bidi="ru-RU"/>
          <w:w w:val="100"/>
          <w:color w:val="000000"/>
          <w:position w:val="0"/>
        </w:rPr>
        <w:t xml:space="preserve">повышенной - БШ1, БШ2, </w:t>
      </w:r>
      <w:r>
        <w:rPr>
          <w:rStyle w:val="CharStyle32"/>
        </w:rPr>
        <w:t xml:space="preserve">Ы113; </w:t>
      </w:r>
      <w:r>
        <w:rPr>
          <w:lang w:val="ru-RU" w:eastAsia="ru-RU" w:bidi="ru-RU"/>
          <w:w w:val="100"/>
          <w:color w:val="000000"/>
          <w:position w:val="0"/>
        </w:rPr>
        <w:t>обычной-ВШ1.ВШ2.ВШЗ;</w:t>
      </w:r>
    </w:p>
    <w:p>
      <w:pPr>
        <w:pStyle w:val="Style12"/>
        <w:widowControl w:val="0"/>
        <w:keepNext w:val="0"/>
        <w:keepLines w:val="0"/>
        <w:shd w:val="clear" w:color="auto" w:fill="auto"/>
        <w:bidi w:val="0"/>
        <w:jc w:val="both"/>
        <w:spacing w:before="0" w:after="0"/>
        <w:ind w:left="20" w:right="20" w:firstLine="720"/>
      </w:pPr>
      <w:r>
        <w:rPr>
          <w:lang w:val="ru-RU" w:eastAsia="ru-RU" w:bidi="ru-RU"/>
          <w:w w:val="100"/>
          <w:color w:val="000000"/>
          <w:position w:val="0"/>
        </w:rPr>
        <w:t xml:space="preserve">Также </w:t>
      </w:r>
      <w:r>
        <w:rPr>
          <w:rStyle w:val="CharStyle18"/>
        </w:rPr>
        <w:t xml:space="preserve">согласно Таблице </w:t>
      </w:r>
      <w:r>
        <w:rPr>
          <w:lang w:val="ru-RU" w:eastAsia="ru-RU" w:bidi="ru-RU"/>
          <w:w w:val="100"/>
          <w:color w:val="000000"/>
          <w:position w:val="0"/>
        </w:rPr>
        <w:t xml:space="preserve">№ </w:t>
      </w:r>
      <w:r>
        <w:rPr>
          <w:rStyle w:val="CharStyle18"/>
        </w:rPr>
        <w:t xml:space="preserve">1 ГОСТ 103-2006 масса 1 м. длины проката при толщине </w:t>
      </w:r>
      <w:r>
        <w:rPr>
          <w:lang w:val="ru-RU" w:eastAsia="ru-RU" w:bidi="ru-RU"/>
          <w:w w:val="100"/>
          <w:color w:val="000000"/>
          <w:position w:val="0"/>
        </w:rPr>
        <w:t>более 8 мм и ширине более 36 мм (позиция № 28) масса составит от 2.261 кг, что соответствует требованию документации более 1,13 кг.</w:t>
      </w:r>
    </w:p>
    <w:p>
      <w:pPr>
        <w:pStyle w:val="Style12"/>
        <w:widowControl w:val="0"/>
        <w:keepNext w:val="0"/>
        <w:keepLines w:val="0"/>
        <w:shd w:val="clear" w:color="auto" w:fill="auto"/>
        <w:bidi w:val="0"/>
        <w:jc w:val="both"/>
        <w:spacing w:before="0" w:after="0"/>
        <w:ind w:left="20" w:right="20" w:firstLine="720"/>
      </w:pPr>
      <w:r>
        <w:rPr>
          <w:lang w:val="ru-RU" w:eastAsia="ru-RU" w:bidi="ru-RU"/>
          <w:w w:val="100"/>
          <w:color w:val="000000"/>
          <w:position w:val="0"/>
        </w:rPr>
        <w:t>В тоже время, в позиции № 55 исходя из инструкции по заполнению заявки на участие в закупке предполагается использование проката полосового шириной более 50 мм. толщиной и 4 мм, и 5 мм. 11ри этом масса должна не должна быть более 2.748кг.</w:t>
      </w:r>
    </w:p>
    <w:p>
      <w:pPr>
        <w:pStyle w:val="Style12"/>
        <w:widowControl w:val="0"/>
        <w:keepNext w:val="0"/>
        <w:keepLines w:val="0"/>
        <w:shd w:val="clear" w:color="auto" w:fill="auto"/>
        <w:bidi w:val="0"/>
        <w:jc w:val="both"/>
        <w:spacing w:before="0" w:after="0"/>
        <w:ind w:left="20" w:right="20" w:firstLine="720"/>
      </w:pPr>
      <w:r>
        <w:rPr>
          <w:lang w:val="ru-RU" w:eastAsia="ru-RU" w:bidi="ru-RU"/>
          <w:w w:val="100"/>
          <w:color w:val="000000"/>
          <w:position w:val="0"/>
        </w:rPr>
        <w:t xml:space="preserve">Согласно Таблице № 1 ГОСТ 103-2006 масса 1 м. длины проката при толщине 5 мм и ширине более 50 мм, значения, которые нормируется ГОСТ - 55 мм., масса составит 2,159 кг., 60 </w:t>
      </w:r>
      <w:r>
        <w:rPr>
          <w:rStyle w:val="CharStyle33"/>
        </w:rPr>
        <w:t xml:space="preserve">мм. </w:t>
      </w:r>
      <w:r>
        <w:rPr>
          <w:lang w:val="ru-RU" w:eastAsia="ru-RU" w:bidi="ru-RU"/>
          <w:w w:val="100"/>
          <w:color w:val="000000"/>
          <w:position w:val="0"/>
        </w:rPr>
        <w:t xml:space="preserve">- масса 2.355 кг., 65 мм. - масса - 2.551 кг. 70 мм. - масса 2.748 кг., т.д. т.е. Комиссия Управления установила, что </w:t>
      </w:r>
      <w:r>
        <w:rPr>
          <w:rStyle w:val="CharStyle14"/>
        </w:rPr>
        <w:t>заказчиком неправомерно установлено требование</w:t>
      </w:r>
      <w:r>
        <w:rPr>
          <w:lang w:val="ru-RU" w:eastAsia="ru-RU" w:bidi="ru-RU"/>
          <w:w w:val="100"/>
          <w:color w:val="000000"/>
          <w:position w:val="0"/>
        </w:rPr>
        <w:t xml:space="preserve"> о соответствии материала одновременно требованиям ГОСТ и документации в указанной позиции в части требования по массе проката при толщине 5 мм. не более 2.748 кг. - если участник правомерно выберет ширину полосы 75 мм., т.е. массой 2.944 кг., что </w:t>
      </w:r>
      <w:r>
        <w:rPr>
          <w:rStyle w:val="CharStyle14"/>
        </w:rPr>
        <w:t>будет</w:t>
      </w:r>
      <w:r>
        <w:rPr>
          <w:lang w:val="ru-RU" w:eastAsia="ru-RU" w:bidi="ru-RU"/>
          <w:w w:val="100"/>
          <w:color w:val="000000"/>
          <w:position w:val="0"/>
        </w:rPr>
        <w:t xml:space="preserve"> </w:t>
      </w:r>
      <w:r>
        <w:rPr>
          <w:rStyle w:val="CharStyle14"/>
        </w:rPr>
        <w:t>соответствовать требованиям ГОСТ, но не будет соответствовать требованиям</w:t>
      </w:r>
      <w:r>
        <w:rPr>
          <w:lang w:val="ru-RU" w:eastAsia="ru-RU" w:bidi="ru-RU"/>
          <w:w w:val="100"/>
          <w:color w:val="000000"/>
          <w:position w:val="0"/>
        </w:rPr>
        <w:t xml:space="preserve"> </w:t>
      </w:r>
      <w:r>
        <w:rPr>
          <w:rStyle w:val="CharStyle14"/>
        </w:rPr>
        <w:t>документации</w:t>
      </w:r>
      <w:r>
        <w:rPr>
          <w:lang w:val="ru-RU" w:eastAsia="ru-RU" w:bidi="ru-RU"/>
          <w:w w:val="100"/>
          <w:color w:val="000000"/>
          <w:position w:val="0"/>
        </w:rPr>
        <w:t xml:space="preserve"> не более 2.748 кг.</w:t>
      </w:r>
    </w:p>
    <w:p>
      <w:pPr>
        <w:pStyle w:val="Style12"/>
        <w:widowControl w:val="0"/>
        <w:keepNext w:val="0"/>
        <w:keepLines w:val="0"/>
        <w:shd w:val="clear" w:color="auto" w:fill="auto"/>
        <w:bidi w:val="0"/>
        <w:jc w:val="both"/>
        <w:spacing w:before="0" w:after="0"/>
        <w:ind w:left="20" w:right="20" w:firstLine="720"/>
      </w:pPr>
      <w:r>
        <w:rPr>
          <w:lang w:val="ru-RU" w:eastAsia="ru-RU" w:bidi="ru-RU"/>
          <w:w w:val="100"/>
          <w:color w:val="000000"/>
          <w:position w:val="0"/>
        </w:rPr>
        <w:t xml:space="preserve">Согласно Таблице № 1 ГОСТ 103-2006 масса 1 м. длины проката при толщине 4 мм и ширине более 50 мм (значение, которое нормируется ГОСТ - 75) масса составит 2.360 кг., что </w:t>
      </w:r>
      <w:r>
        <w:rPr>
          <w:rStyle w:val="CharStyle14"/>
        </w:rPr>
        <w:t>соответствует требованию документации</w:t>
      </w:r>
      <w:r>
        <w:rPr>
          <w:lang w:val="ru-RU" w:eastAsia="ru-RU" w:bidi="ru-RU"/>
          <w:w w:val="100"/>
          <w:color w:val="000000"/>
          <w:position w:val="0"/>
        </w:rPr>
        <w:t xml:space="preserve"> более 2,748 кг.</w:t>
      </w:r>
    </w:p>
    <w:p>
      <w:pPr>
        <w:pStyle w:val="Style12"/>
        <w:widowControl w:val="0"/>
        <w:keepNext w:val="0"/>
        <w:keepLines w:val="0"/>
        <w:shd w:val="clear" w:color="auto" w:fill="auto"/>
        <w:bidi w:val="0"/>
        <w:jc w:val="both"/>
        <w:spacing w:before="0" w:after="0"/>
        <w:ind w:left="20" w:right="20" w:firstLine="720"/>
      </w:pPr>
      <w:r>
        <w:rPr>
          <w:lang w:val="ru-RU" w:eastAsia="ru-RU" w:bidi="ru-RU"/>
          <w:w w:val="100"/>
          <w:color w:val="000000"/>
          <w:position w:val="0"/>
        </w:rPr>
        <w:t>Комиссия Управления отмечает, что подобное неправомерное указание заказчиком требований к материалу и инструкции по заполнению заявки может привести к неправомерному допуску или отказу в допуске участникам закупки.</w:t>
      </w:r>
    </w:p>
    <w:p>
      <w:pPr>
        <w:pStyle w:val="Style12"/>
        <w:widowControl w:val="0"/>
        <w:keepNext w:val="0"/>
        <w:keepLines w:val="0"/>
        <w:shd w:val="clear" w:color="auto" w:fill="auto"/>
        <w:bidi w:val="0"/>
        <w:jc w:val="both"/>
        <w:spacing w:before="0" w:after="0"/>
        <w:ind w:left="20" w:right="20" w:firstLine="720"/>
      </w:pPr>
      <w:r>
        <w:rPr>
          <w:lang w:val="ru-RU" w:eastAsia="ru-RU" w:bidi="ru-RU"/>
          <w:w w:val="100"/>
          <w:color w:val="000000"/>
          <w:position w:val="0"/>
        </w:rPr>
        <w:t xml:space="preserve">На основании изложенного, Комиссия Управления приходит к выводу об </w:t>
      </w:r>
      <w:r>
        <w:rPr>
          <w:rStyle w:val="CharStyle14"/>
        </w:rPr>
        <w:t>обоснованности рассматриваемого довода жалобы</w:t>
      </w:r>
      <w:r>
        <w:rPr>
          <w:lang w:val="ru-RU" w:eastAsia="ru-RU" w:bidi="ru-RU"/>
          <w:w w:val="100"/>
          <w:color w:val="000000"/>
          <w:position w:val="0"/>
        </w:rPr>
        <w:t>.</w:t>
      </w:r>
    </w:p>
    <w:p>
      <w:pPr>
        <w:pStyle w:val="Style12"/>
        <w:numPr>
          <w:ilvl w:val="0"/>
          <w:numId w:val="17"/>
        </w:numPr>
        <w:widowControl w:val="0"/>
        <w:keepNext w:val="0"/>
        <w:keepLines w:val="0"/>
        <w:shd w:val="clear" w:color="auto" w:fill="auto"/>
        <w:bidi w:val="0"/>
        <w:jc w:val="both"/>
        <w:spacing w:before="0" w:after="0"/>
        <w:ind w:left="20" w:right="20" w:firstLine="720"/>
      </w:pPr>
      <w:r>
        <w:rPr>
          <w:lang w:val="ru-RU" w:eastAsia="ru-RU" w:bidi="ru-RU"/>
          <w:w w:val="100"/>
          <w:color w:val="000000"/>
          <w:position w:val="0"/>
        </w:rPr>
        <w:t xml:space="preserve"> В позиции </w:t>
      </w:r>
      <w:r>
        <w:rPr>
          <w:rStyle w:val="CharStyle34"/>
        </w:rPr>
        <w:t xml:space="preserve">№ </w:t>
      </w:r>
      <w:r>
        <w:rPr>
          <w:lang w:val="ru-RU" w:eastAsia="ru-RU" w:bidi="ru-RU"/>
          <w:w w:val="100"/>
          <w:color w:val="000000"/>
          <w:position w:val="0"/>
        </w:rPr>
        <w:t xml:space="preserve">46 в Приложении </w:t>
      </w:r>
      <w:r>
        <w:rPr>
          <w:rStyle w:val="CharStyle34"/>
        </w:rPr>
        <w:t xml:space="preserve">№ </w:t>
      </w:r>
      <w:r>
        <w:rPr>
          <w:lang w:val="ru-RU" w:eastAsia="ru-RU" w:bidi="ru-RU"/>
          <w:w w:val="100"/>
          <w:color w:val="000000"/>
          <w:position w:val="0"/>
        </w:rPr>
        <w:t>3 указано «</w:t>
      </w:r>
      <w:r>
        <w:rPr>
          <w:rStyle w:val="CharStyle14"/>
        </w:rPr>
        <w:t>дизельное топливо</w:t>
      </w:r>
      <w:r>
        <w:rPr>
          <w:lang w:val="ru-RU" w:eastAsia="ru-RU" w:bidi="ru-RU"/>
          <w:w w:val="100"/>
          <w:color w:val="000000"/>
          <w:position w:val="0"/>
        </w:rPr>
        <w:t>», в отношении которого установлено, в том числе, следующее: сорт должен быть первый: высший. Марка должна быть ДТ.</w:t>
      </w:r>
    </w:p>
    <w:p>
      <w:pPr>
        <w:pStyle w:val="Style12"/>
        <w:widowControl w:val="0"/>
        <w:keepNext w:val="0"/>
        <w:keepLines w:val="0"/>
        <w:shd w:val="clear" w:color="auto" w:fill="auto"/>
        <w:bidi w:val="0"/>
        <w:jc w:val="both"/>
        <w:spacing w:before="0" w:after="0"/>
        <w:ind w:left="20" w:right="20" w:firstLine="720"/>
      </w:pPr>
      <w:r>
        <w:rPr>
          <w:lang w:val="ru-RU" w:eastAsia="ru-RU" w:bidi="ru-RU"/>
          <w:w w:val="100"/>
          <w:color w:val="000000"/>
          <w:position w:val="0"/>
        </w:rPr>
        <w:t>По мнению подателя жалобы ГОСТ 305-2013 «Топливо дизельное» установлены марки дизельного топлива: Л - летнее, Е - межсезонное. 3 - зимнее. А - арктическое. Марки ДТ - в ГОСТ 305-2013 не содержи тся.</w:t>
      </w:r>
    </w:p>
    <w:p>
      <w:pPr>
        <w:pStyle w:val="Style12"/>
        <w:widowControl w:val="0"/>
        <w:keepNext w:val="0"/>
        <w:keepLines w:val="0"/>
        <w:shd w:val="clear" w:color="auto" w:fill="auto"/>
        <w:bidi w:val="0"/>
        <w:jc w:val="both"/>
        <w:spacing w:before="0" w:after="0"/>
        <w:ind w:left="20" w:right="20" w:firstLine="720"/>
      </w:pPr>
      <w:r>
        <w:rPr>
          <w:lang w:val="ru-RU" w:eastAsia="ru-RU" w:bidi="ru-RU"/>
          <w:w w:val="100"/>
          <w:color w:val="000000"/>
          <w:position w:val="0"/>
        </w:rPr>
        <w:t>В тоже время, в соответствии с пунктом 7.3.2 документации об электронном аукционе в отношении материала дизельное топливо применяется ГОСТ 1667-68. Топливо моторное для среднеоборотных и малооборотных дизелей.</w:t>
      </w:r>
    </w:p>
    <w:p>
      <w:pPr>
        <w:pStyle w:val="Style12"/>
        <w:widowControl w:val="0"/>
        <w:keepNext w:val="0"/>
        <w:keepLines w:val="0"/>
        <w:shd w:val="clear" w:color="auto" w:fill="auto"/>
        <w:bidi w:val="0"/>
        <w:jc w:val="both"/>
        <w:spacing w:before="0" w:after="0"/>
        <w:ind w:left="20" w:right="20" w:firstLine="720"/>
      </w:pPr>
      <w:r>
        <w:rPr>
          <w:lang w:val="ru-RU" w:eastAsia="ru-RU" w:bidi="ru-RU"/>
          <w:w w:val="100"/>
          <w:color w:val="000000"/>
          <w:position w:val="0"/>
        </w:rPr>
        <w:t>Согласно пункту 2 ГОСТ 1667-68 в зависимости от качественных показателей устанавливаются следующие марки моторного топлива:</w:t>
      </w:r>
    </w:p>
    <w:p>
      <w:pPr>
        <w:pStyle w:val="Style12"/>
        <w:widowControl w:val="0"/>
        <w:keepNext w:val="0"/>
        <w:keepLines w:val="0"/>
        <w:shd w:val="clear" w:color="auto" w:fill="auto"/>
        <w:bidi w:val="0"/>
        <w:jc w:val="both"/>
        <w:spacing w:before="0" w:after="0"/>
        <w:ind w:left="20" w:right="0" w:firstLine="720"/>
      </w:pPr>
      <w:r>
        <w:rPr>
          <w:lang w:val="ru-RU" w:eastAsia="ru-RU" w:bidi="ru-RU"/>
          <w:w w:val="100"/>
          <w:color w:val="000000"/>
          <w:position w:val="0"/>
        </w:rPr>
        <w:t>ДТ - применяется для среднеоборотных и малооборотных дизелей;</w:t>
      </w:r>
    </w:p>
    <w:p>
      <w:pPr>
        <w:pStyle w:val="Style12"/>
        <w:widowControl w:val="0"/>
        <w:keepNext w:val="0"/>
        <w:keepLines w:val="0"/>
        <w:shd w:val="clear" w:color="auto" w:fill="auto"/>
        <w:bidi w:val="0"/>
        <w:jc w:val="both"/>
        <w:spacing w:before="0" w:after="0"/>
        <w:ind w:left="20" w:right="0" w:firstLine="720"/>
      </w:pPr>
      <w:r>
        <w:rPr>
          <w:lang w:val="ru-RU" w:eastAsia="ru-RU" w:bidi="ru-RU"/>
          <w:w w:val="100"/>
          <w:color w:val="000000"/>
          <w:position w:val="0"/>
        </w:rPr>
        <w:t>ДМ - применяется для судовых малооборотных дизелей.</w:t>
      </w:r>
    </w:p>
    <w:p>
      <w:pPr>
        <w:pStyle w:val="Style12"/>
        <w:widowControl w:val="0"/>
        <w:keepNext w:val="0"/>
        <w:keepLines w:val="0"/>
        <w:shd w:val="clear" w:color="auto" w:fill="auto"/>
        <w:bidi w:val="0"/>
        <w:jc w:val="both"/>
        <w:spacing w:before="0" w:after="0"/>
        <w:ind w:left="20" w:right="20" w:firstLine="720"/>
      </w:pPr>
      <w:r>
        <w:rPr>
          <w:lang w:val="ru-RU" w:eastAsia="ru-RU" w:bidi="ru-RU"/>
          <w:w w:val="100"/>
          <w:color w:val="000000"/>
          <w:position w:val="0"/>
        </w:rPr>
        <w:t>Более того, все участники закупки (в том числе, податель жалобы) указали в первой части заявки данную позицию, и никто из участников не был отклонен по данному основанию.</w:t>
      </w:r>
    </w:p>
    <w:p>
      <w:pPr>
        <w:pStyle w:val="Style12"/>
        <w:widowControl w:val="0"/>
        <w:keepNext w:val="0"/>
        <w:keepLines w:val="0"/>
        <w:shd w:val="clear" w:color="auto" w:fill="auto"/>
        <w:bidi w:val="0"/>
        <w:jc w:val="both"/>
        <w:spacing w:before="0" w:after="0"/>
        <w:ind w:left="20" w:right="20" w:firstLine="720"/>
      </w:pPr>
      <w:r>
        <w:rPr>
          <w:lang w:val="ru-RU" w:eastAsia="ru-RU" w:bidi="ru-RU"/>
          <w:w w:val="100"/>
          <w:color w:val="000000"/>
          <w:position w:val="0"/>
        </w:rPr>
        <w:t xml:space="preserve">В связи с чем. Комиссия Управления приходит к выводу об отсутствии нарушения прав участников закупки и </w:t>
      </w:r>
      <w:r>
        <w:rPr>
          <w:rStyle w:val="CharStyle14"/>
        </w:rPr>
        <w:t>необоснованности рассматриваемого довода</w:t>
      </w:r>
      <w:r>
        <w:rPr>
          <w:lang w:val="ru-RU" w:eastAsia="ru-RU" w:bidi="ru-RU"/>
          <w:w w:val="100"/>
          <w:color w:val="000000"/>
          <w:position w:val="0"/>
        </w:rPr>
        <w:t>.</w:t>
      </w:r>
    </w:p>
    <w:p>
      <w:pPr>
        <w:pStyle w:val="Style12"/>
        <w:numPr>
          <w:ilvl w:val="0"/>
          <w:numId w:val="17"/>
        </w:numPr>
        <w:widowControl w:val="0"/>
        <w:keepNext w:val="0"/>
        <w:keepLines w:val="0"/>
        <w:shd w:val="clear" w:color="auto" w:fill="auto"/>
        <w:bidi w:val="0"/>
        <w:jc w:val="both"/>
        <w:spacing w:before="0" w:after="0"/>
        <w:ind w:left="20" w:right="20" w:firstLine="720"/>
      </w:pPr>
      <w:r>
        <w:rPr>
          <w:rStyle w:val="CharStyle34"/>
        </w:rPr>
        <w:t xml:space="preserve"> </w:t>
      </w:r>
      <w:r>
        <w:rPr>
          <w:lang w:val="ru-RU" w:eastAsia="ru-RU" w:bidi="ru-RU"/>
          <w:w w:val="100"/>
          <w:color w:val="000000"/>
          <w:position w:val="0"/>
        </w:rPr>
        <w:t xml:space="preserve">В позиции </w:t>
      </w:r>
      <w:r>
        <w:rPr>
          <w:rStyle w:val="CharStyle34"/>
        </w:rPr>
        <w:t xml:space="preserve">№ </w:t>
      </w:r>
      <w:r>
        <w:rPr>
          <w:lang w:val="ru-RU" w:eastAsia="ru-RU" w:bidi="ru-RU"/>
          <w:w w:val="100"/>
          <w:color w:val="000000"/>
          <w:position w:val="0"/>
        </w:rPr>
        <w:t xml:space="preserve">36 в Приложении </w:t>
      </w:r>
      <w:r>
        <w:rPr>
          <w:rStyle w:val="CharStyle34"/>
        </w:rPr>
        <w:t xml:space="preserve">№ </w:t>
      </w:r>
      <w:r>
        <w:rPr>
          <w:lang w:val="ru-RU" w:eastAsia="ru-RU" w:bidi="ru-RU"/>
          <w:w w:val="100"/>
          <w:color w:val="000000"/>
          <w:position w:val="0"/>
        </w:rPr>
        <w:t>3 указано «</w:t>
      </w:r>
      <w:r>
        <w:rPr>
          <w:rStyle w:val="CharStyle14"/>
        </w:rPr>
        <w:t>Колодки клеммные</w:t>
      </w:r>
      <w:r>
        <w:rPr>
          <w:lang w:val="ru-RU" w:eastAsia="ru-RU" w:bidi="ru-RU"/>
          <w:w w:val="100"/>
          <w:color w:val="000000"/>
          <w:position w:val="0"/>
        </w:rPr>
        <w:t>», в отношении которых установлено, в том числе, следующее:</w:t>
      </w:r>
    </w:p>
    <w:p>
      <w:pPr>
        <w:pStyle w:val="Style12"/>
        <w:widowControl w:val="0"/>
        <w:keepNext w:val="0"/>
        <w:keepLines w:val="0"/>
        <w:shd w:val="clear" w:color="auto" w:fill="auto"/>
        <w:bidi w:val="0"/>
        <w:jc w:val="both"/>
        <w:spacing w:before="0" w:after="0"/>
        <w:ind w:left="20" w:right="0" w:firstLine="720"/>
      </w:pPr>
      <w:r>
        <w:rPr>
          <w:lang w:val="ru-RU" w:eastAsia="ru-RU" w:bidi="ru-RU"/>
          <w:w w:val="100"/>
          <w:color w:val="000000"/>
          <w:position w:val="0"/>
        </w:rPr>
        <w:t>Сечение диапазон требуемых значений не должно быть более 4.0мм2</w:t>
      </w:r>
    </w:p>
    <w:p>
      <w:pPr>
        <w:pStyle w:val="Style12"/>
        <w:widowControl w:val="0"/>
        <w:keepNext w:val="0"/>
        <w:keepLines w:val="0"/>
        <w:shd w:val="clear" w:color="auto" w:fill="auto"/>
        <w:bidi w:val="0"/>
        <w:jc w:val="both"/>
        <w:spacing w:before="0" w:after="0"/>
        <w:ind w:left="20" w:right="0" w:firstLine="720"/>
      </w:pPr>
      <w:r>
        <w:rPr>
          <w:lang w:val="ru-RU" w:eastAsia="ru-RU" w:bidi="ru-RU"/>
          <w:w w:val="100"/>
          <w:color w:val="000000"/>
          <w:position w:val="0"/>
        </w:rPr>
        <w:t>Вид контактного зажима должен быть безвинтовой; винтовой разборный</w:t>
      </w:r>
    </w:p>
    <w:p>
      <w:pPr>
        <w:pStyle w:val="Style12"/>
        <w:widowControl w:val="0"/>
        <w:keepNext w:val="0"/>
        <w:keepLines w:val="0"/>
        <w:shd w:val="clear" w:color="auto" w:fill="auto"/>
        <w:bidi w:val="0"/>
        <w:jc w:val="both"/>
        <w:spacing w:before="0" w:after="0"/>
        <w:ind w:left="20" w:right="0" w:firstLine="720"/>
      </w:pPr>
      <w:r>
        <w:rPr>
          <w:lang w:val="ru-RU" w:eastAsia="ru-RU" w:bidi="ru-RU"/>
          <w:w w:val="100"/>
          <w:color w:val="000000"/>
          <w:position w:val="0"/>
        </w:rPr>
        <w:t>Номинальный ток должен быть 2.5; 10.16А</w:t>
      </w:r>
    </w:p>
    <w:p>
      <w:pPr>
        <w:pStyle w:val="Style35"/>
        <w:widowControl w:val="0"/>
        <w:keepNext w:val="0"/>
        <w:keepLines w:val="0"/>
        <w:shd w:val="clear" w:color="auto" w:fill="auto"/>
        <w:bidi w:val="0"/>
        <w:spacing w:before="0" w:after="0"/>
        <w:ind w:left="20" w:right="0"/>
      </w:pPr>
      <w:r>
        <w:rPr>
          <w:lang w:val="ru-RU" w:eastAsia="ru-RU" w:bidi="ru-RU"/>
          <w:w w:val="100"/>
          <w:color w:val="000000"/>
          <w:position w:val="0"/>
        </w:rPr>
        <w:t>Конструктивное исполнение контактного зажима должен быть пружинный; винт</w:t>
      </w:r>
    </w:p>
    <w:p>
      <w:pPr>
        <w:pStyle w:val="Style12"/>
        <w:widowControl w:val="0"/>
        <w:keepNext w:val="0"/>
        <w:keepLines w:val="0"/>
        <w:shd w:val="clear" w:color="auto" w:fill="auto"/>
        <w:bidi w:val="0"/>
        <w:jc w:val="both"/>
        <w:spacing w:before="0" w:after="12" w:line="230" w:lineRule="exact"/>
        <w:ind w:left="20" w:right="0" w:firstLine="720"/>
      </w:pPr>
      <w:r>
        <w:rPr>
          <w:lang w:val="ru-RU" w:eastAsia="ru-RU" w:bidi="ru-RU"/>
          <w:w w:val="100"/>
          <w:color w:val="000000"/>
          <w:position w:val="0"/>
        </w:rPr>
        <w:t>Пагревосгойкость изолирующих деталей не должна быть менее ЮОоС</w:t>
      </w:r>
    </w:p>
    <w:p>
      <w:pPr>
        <w:pStyle w:val="Style12"/>
        <w:widowControl w:val="0"/>
        <w:keepNext w:val="0"/>
        <w:keepLines w:val="0"/>
        <w:shd w:val="clear" w:color="auto" w:fill="auto"/>
        <w:bidi w:val="0"/>
        <w:jc w:val="both"/>
        <w:spacing w:before="0" w:after="0" w:line="230" w:lineRule="exact"/>
        <w:ind w:left="20" w:right="0" w:firstLine="720"/>
      </w:pPr>
      <w:r>
        <w:rPr>
          <w:lang w:val="ru-RU" w:eastAsia="ru-RU" w:bidi="ru-RU"/>
          <w:w w:val="100"/>
          <w:color w:val="000000"/>
          <w:position w:val="0"/>
        </w:rPr>
        <w:t>Материал присоединяемых проводников должен быть медь: алюминий</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В соответствии с пунктом 7.3.2 документации об электронном аукционе в отношении материала колодки клеммные применяется ГОСТ 17557-88 Колодки клеммные светотехнические.</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Как следует из инструкции но заполнению заявок, если требуемые значения одновременно разделены символами «,» и «;», то следует руководствоваться правилом, что знак «;» действует только между соседними значениями, разделенными этим знаком (например: 2; 4; 6, 3; 8; 10, то участник закупки должен выбрать одно значение из значений 2; 4; 6 и одно значение из значений 3; 8; 10).</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Т.е. в данном случае участник должен использовать колодки клеммные со значением номинальный ток на выбор 2,5 А и 10 А. и обязательно 16 А.</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При этом, вид контактного зажима должен быть или безвинтовой. или винтовой разборный на выбор. Медь или алюминий - на выбор.</w:t>
      </w:r>
    </w:p>
    <w:p>
      <w:pPr>
        <w:pStyle w:val="Style12"/>
        <w:widowControl w:val="0"/>
        <w:keepNext w:val="0"/>
        <w:keepLines w:val="0"/>
        <w:shd w:val="clear" w:color="auto" w:fill="auto"/>
        <w:bidi w:val="0"/>
        <w:jc w:val="left"/>
        <w:spacing w:before="0" w:after="0"/>
        <w:ind w:left="720" w:right="5320" w:firstLine="0"/>
      </w:pPr>
      <w:r>
        <w:rPr>
          <w:lang w:val="ru-RU" w:eastAsia="ru-RU" w:bidi="ru-RU"/>
          <w:w w:val="100"/>
          <w:color w:val="000000"/>
          <w:position w:val="0"/>
        </w:rPr>
        <w:t>Сечение менее 4,0 мм2 Согласно таблице 4 ГОСТ 17557-88:</w:t>
      </w:r>
    </w:p>
    <w:p>
      <w:pPr>
        <w:pStyle w:val="Style12"/>
        <w:numPr>
          <w:ilvl w:val="0"/>
          <w:numId w:val="21"/>
        </w:numPr>
        <w:widowControl w:val="0"/>
        <w:keepNext w:val="0"/>
        <w:keepLines w:val="0"/>
        <w:shd w:val="clear" w:color="auto" w:fill="auto"/>
        <w:bidi w:val="0"/>
        <w:jc w:val="both"/>
        <w:spacing w:before="0" w:after="0"/>
        <w:ind w:left="380" w:right="20" w:hanging="360"/>
      </w:pPr>
      <w:r>
        <w:rPr>
          <w:lang w:val="ru-RU" w:eastAsia="ru-RU" w:bidi="ru-RU"/>
          <w:w w:val="100"/>
          <w:color w:val="000000"/>
          <w:position w:val="0"/>
        </w:rPr>
        <w:t xml:space="preserve"> если участник выбирает колодки клеммные медь, алюминий - винтовой разборный зажим номинальный ток 2,5 А. 10 А. 16 А сечение 0.50-0.75 мм., 1,00-2,50 мм.-исходя из пункта 2.2.5.5 указанного ГОСТ нагревостойкость равна 100 градусам.</w:t>
      </w:r>
    </w:p>
    <w:p>
      <w:pPr>
        <w:pStyle w:val="Style12"/>
        <w:numPr>
          <w:ilvl w:val="0"/>
          <w:numId w:val="21"/>
        </w:numPr>
        <w:widowControl w:val="0"/>
        <w:keepNext w:val="0"/>
        <w:keepLines w:val="0"/>
        <w:shd w:val="clear" w:color="auto" w:fill="auto"/>
        <w:bidi w:val="0"/>
        <w:jc w:val="both"/>
        <w:spacing w:before="0" w:after="0"/>
        <w:ind w:left="380" w:right="20" w:hanging="360"/>
      </w:pPr>
      <w:r>
        <w:rPr>
          <w:lang w:val="ru-RU" w:eastAsia="ru-RU" w:bidi="ru-RU"/>
          <w:w w:val="100"/>
          <w:color w:val="000000"/>
          <w:position w:val="0"/>
        </w:rPr>
        <w:t xml:space="preserve"> если участник выбирает колодки клеммные медь, алюминий - винтовой разборный зажим номинальный ток 2,5 А. 10 А. 16 А сечение 1,50 - 4.00 мм. - исходя из пункта 2.2.5.5 указанного ГОСТ нагревостойкость уже равна 130 градусам (сечение 2.50 - 4.00).</w:t>
      </w:r>
    </w:p>
    <w:p>
      <w:pPr>
        <w:pStyle w:val="Style12"/>
        <w:numPr>
          <w:ilvl w:val="0"/>
          <w:numId w:val="21"/>
        </w:numPr>
        <w:widowControl w:val="0"/>
        <w:keepNext w:val="0"/>
        <w:keepLines w:val="0"/>
        <w:shd w:val="clear" w:color="auto" w:fill="auto"/>
        <w:bidi w:val="0"/>
        <w:jc w:val="both"/>
        <w:spacing w:before="0" w:after="0"/>
        <w:ind w:left="380" w:right="0" w:hanging="360"/>
      </w:pPr>
      <w:r>
        <w:rPr>
          <w:lang w:val="ru-RU" w:eastAsia="ru-RU" w:bidi="ru-RU"/>
          <w:w w:val="100"/>
          <w:color w:val="000000"/>
          <w:position w:val="0"/>
        </w:rPr>
        <w:t xml:space="preserve"> аналогично, в случае выбора безвинтового зажима колодок.</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Комиссия Управления отмечает, что подобное неправомерное указание заказчиком требований к материалу и инструкции по заполнению заявки может привести к неправомерному допуску или отказу в допуске участникам закупки.</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Так, участнику закупки № 10 было отказано в участии в аукционе, в том числе, но позиции № 36 в связи с «неправильным» указанием показателя по нагревостойкости.</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В тоже время, участники закупки № 3 и № 7 (допущенные к участию в аукционе) в заявках указали для номинального тока 10А 1.0 ... 2.5 мм. для номинального тока 16А 1.5 ...4,0 мм, при этом нагревостойкость - 130 градусов, что не соотвествует пункту 2.2.5.5 ГОСТ 17557-88.</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 xml:space="preserve">На основании изложенного. Комиссия Управления приходит к выводу об </w:t>
      </w:r>
      <w:r>
        <w:rPr>
          <w:rStyle w:val="CharStyle14"/>
        </w:rPr>
        <w:t>обоснованности рассматриваемого довода жалобы</w:t>
      </w:r>
      <w:r>
        <w:rPr>
          <w:lang w:val="ru-RU" w:eastAsia="ru-RU" w:bidi="ru-RU"/>
          <w:w w:val="100"/>
          <w:color w:val="000000"/>
          <w:position w:val="0"/>
        </w:rPr>
        <w:t>.</w:t>
      </w:r>
    </w:p>
    <w:p>
      <w:pPr>
        <w:pStyle w:val="Style12"/>
        <w:numPr>
          <w:ilvl w:val="0"/>
          <w:numId w:val="17"/>
        </w:numPr>
        <w:tabs>
          <w:tab w:leader="none" w:pos="1031" w:val="left"/>
        </w:tabs>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В позиции № 28 в Приложении № 3 указано «</w:t>
      </w:r>
      <w:r>
        <w:rPr>
          <w:rStyle w:val="CharStyle14"/>
        </w:rPr>
        <w:t>Камни бортовые</w:t>
      </w:r>
      <w:r>
        <w:rPr>
          <w:lang w:val="ru-RU" w:eastAsia="ru-RU" w:bidi="ru-RU"/>
          <w:w w:val="100"/>
          <w:color w:val="000000"/>
          <w:position w:val="0"/>
        </w:rPr>
        <w:t>», в отношении которых установлено, в том числе, следующее:</w:t>
      </w:r>
    </w:p>
    <w:p>
      <w:pPr>
        <w:pStyle w:val="Style12"/>
        <w:widowControl w:val="0"/>
        <w:keepNext w:val="0"/>
        <w:keepLines w:val="0"/>
        <w:shd w:val="clear" w:color="auto" w:fill="auto"/>
        <w:bidi w:val="0"/>
        <w:jc w:val="left"/>
        <w:spacing w:before="0" w:after="0"/>
        <w:ind w:left="720" w:right="5320" w:firstLine="0"/>
      </w:pPr>
      <w:r>
        <w:rPr>
          <w:lang w:val="ru-RU" w:eastAsia="ru-RU" w:bidi="ru-RU"/>
          <w:w w:val="100"/>
          <w:color w:val="000000"/>
          <w:position w:val="0"/>
        </w:rPr>
        <w:t>Тип должен быть БР Масса не должна быть более 0,1т Бетон не должен быть менее 0.016 м3 Длина должна быть 1000 мм Высота должна быть 200;300 мм Ширина должна быть 80, 150 мм</w:t>
      </w:r>
    </w:p>
    <w:p>
      <w:pPr>
        <w:pStyle w:val="Style12"/>
        <w:widowControl w:val="0"/>
        <w:keepNext w:val="0"/>
        <w:keepLines w:val="0"/>
        <w:shd w:val="clear" w:color="auto" w:fill="auto"/>
        <w:bidi w:val="0"/>
        <w:jc w:val="both"/>
        <w:spacing w:before="0" w:after="0"/>
        <w:ind w:left="20" w:right="0" w:firstLine="700"/>
      </w:pPr>
      <w:r>
        <w:rPr>
          <w:lang w:val="ru-RU" w:eastAsia="ru-RU" w:bidi="ru-RU"/>
          <w:w w:val="100"/>
          <w:color w:val="000000"/>
          <w:position w:val="0"/>
        </w:rPr>
        <w:t>Марка по морозостойкости не должна быть менее Г100</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В соответствии с пунктом 7.3.2 документации об электронном аукционе в отношении материала камни бортовые применяется ГОСТ 6665-91. Межгосударственный стандарт. Камни бетонные и железобетонные бортовые. Технические условия.</w:t>
      </w:r>
    </w:p>
    <w:p>
      <w:pPr>
        <w:pStyle w:val="Style12"/>
        <w:widowControl w:val="0"/>
        <w:keepNext w:val="0"/>
        <w:keepLines w:val="0"/>
        <w:shd w:val="clear" w:color="auto" w:fill="auto"/>
        <w:bidi w:val="0"/>
        <w:jc w:val="both"/>
        <w:spacing w:before="0" w:after="0"/>
        <w:ind w:left="20" w:right="0" w:firstLine="700"/>
      </w:pPr>
      <w:r>
        <w:rPr>
          <w:lang w:val="ru-RU" w:eastAsia="ru-RU" w:bidi="ru-RU"/>
          <w:w w:val="100"/>
          <w:color w:val="000000"/>
          <w:position w:val="0"/>
        </w:rPr>
        <w:t>Согласно пункту 1.2.1 ГОСТ 6665-91 камни делят на типы:</w:t>
      </w:r>
    </w:p>
    <w:p>
      <w:pPr>
        <w:pStyle w:val="Style12"/>
        <w:numPr>
          <w:ilvl w:val="0"/>
          <w:numId w:val="1"/>
        </w:numPr>
        <w:widowControl w:val="0"/>
        <w:keepNext w:val="0"/>
        <w:keepLines w:val="0"/>
        <w:shd w:val="clear" w:color="auto" w:fill="auto"/>
        <w:bidi w:val="0"/>
        <w:jc w:val="both"/>
        <w:spacing w:before="0" w:after="68" w:line="230" w:lineRule="exact"/>
        <w:ind w:left="380" w:right="0" w:hanging="360"/>
      </w:pPr>
      <w:r>
        <w:rPr>
          <w:lang w:val="ru-RU" w:eastAsia="ru-RU" w:bidi="ru-RU"/>
          <w:w w:val="100"/>
          <w:color w:val="000000"/>
          <w:position w:val="0"/>
        </w:rPr>
        <w:t xml:space="preserve"> </w:t>
      </w:r>
      <w:r>
        <w:rPr>
          <w:rStyle w:val="CharStyle14"/>
        </w:rPr>
        <w:t>БР - прямые рядовые</w:t>
      </w:r>
      <w:r>
        <w:rPr>
          <w:lang w:val="ru-RU" w:eastAsia="ru-RU" w:bidi="ru-RU"/>
          <w:w w:val="100"/>
          <w:color w:val="000000"/>
          <w:position w:val="0"/>
        </w:rPr>
        <w:t>:</w:t>
      </w:r>
    </w:p>
    <w:p>
      <w:pPr>
        <w:pStyle w:val="Style12"/>
        <w:numPr>
          <w:ilvl w:val="0"/>
          <w:numId w:val="1"/>
        </w:numPr>
        <w:widowControl w:val="0"/>
        <w:keepNext w:val="0"/>
        <w:keepLines w:val="0"/>
        <w:shd w:val="clear" w:color="auto" w:fill="auto"/>
        <w:bidi w:val="0"/>
        <w:jc w:val="both"/>
        <w:spacing w:before="0" w:after="58" w:line="230" w:lineRule="exact"/>
        <w:ind w:left="380" w:right="0" w:hanging="360"/>
      </w:pPr>
      <w:r>
        <w:rPr>
          <w:lang w:val="ru-RU" w:eastAsia="ru-RU" w:bidi="ru-RU"/>
          <w:w w:val="100"/>
          <w:color w:val="000000"/>
          <w:position w:val="0"/>
        </w:rPr>
        <w:t xml:space="preserve"> БУ - прямые с уширением;</w:t>
      </w:r>
    </w:p>
    <w:p>
      <w:pPr>
        <w:pStyle w:val="Style12"/>
        <w:numPr>
          <w:ilvl w:val="0"/>
          <w:numId w:val="1"/>
        </w:numPr>
        <w:widowControl w:val="0"/>
        <w:keepNext w:val="0"/>
        <w:keepLines w:val="0"/>
        <w:shd w:val="clear" w:color="auto" w:fill="auto"/>
        <w:bidi w:val="0"/>
        <w:jc w:val="both"/>
        <w:spacing w:before="0" w:after="0" w:line="230" w:lineRule="exact"/>
        <w:ind w:left="380" w:right="0" w:hanging="360"/>
      </w:pPr>
      <w:r>
        <w:rPr>
          <w:lang w:val="ru-RU" w:eastAsia="ru-RU" w:bidi="ru-RU"/>
          <w:w w:val="100"/>
          <w:color w:val="000000"/>
          <w:position w:val="0"/>
        </w:rPr>
        <w:t xml:space="preserve"> БУ </w:t>
      </w:r>
      <w:r>
        <w:rPr>
          <w:lang w:val="en-US" w:eastAsia="en-US" w:bidi="en-US"/>
          <w:w w:val="100"/>
          <w:color w:val="000000"/>
          <w:position w:val="0"/>
        </w:rPr>
        <w:t>1</w:t>
      </w:r>
      <w:r>
        <w:rPr>
          <w:lang w:val="ru-RU" w:eastAsia="ru-RU" w:bidi="ru-RU"/>
          <w:w w:val="100"/>
          <w:color w:val="000000"/>
          <w:position w:val="0"/>
        </w:rPr>
        <w:t>1 - прямые с прерывистым уширением;</w:t>
      </w:r>
    </w:p>
    <w:p>
      <w:pPr>
        <w:pStyle w:val="Style12"/>
        <w:numPr>
          <w:ilvl w:val="0"/>
          <w:numId w:val="1"/>
        </w:numPr>
        <w:widowControl w:val="0"/>
        <w:keepNext w:val="0"/>
        <w:keepLines w:val="0"/>
        <w:shd w:val="clear" w:color="auto" w:fill="auto"/>
        <w:bidi w:val="0"/>
        <w:jc w:val="left"/>
        <w:spacing w:before="0" w:after="14" w:line="230" w:lineRule="exact"/>
        <w:ind w:left="20" w:right="0" w:firstLine="0"/>
      </w:pPr>
      <w:r>
        <w:rPr>
          <w:lang w:val="ru-RU" w:eastAsia="ru-RU" w:bidi="ru-RU"/>
          <w:w w:val="100"/>
          <w:color w:val="000000"/>
          <w:position w:val="0"/>
        </w:rPr>
        <w:t xml:space="preserve"> БЛ - прямые с лотком;</w:t>
      </w:r>
    </w:p>
    <w:p>
      <w:pPr>
        <w:pStyle w:val="Style12"/>
        <w:numPr>
          <w:ilvl w:val="0"/>
          <w:numId w:val="1"/>
        </w:numPr>
        <w:widowControl w:val="0"/>
        <w:keepNext w:val="0"/>
        <w:keepLines w:val="0"/>
        <w:shd w:val="clear" w:color="auto" w:fill="auto"/>
        <w:bidi w:val="0"/>
        <w:jc w:val="left"/>
        <w:spacing w:before="0" w:after="0"/>
        <w:ind w:left="20" w:right="0" w:firstLine="0"/>
      </w:pPr>
      <w:r>
        <w:rPr>
          <w:lang w:val="ru-RU" w:eastAsia="ru-RU" w:bidi="ru-RU"/>
          <w:w w:val="100"/>
          <w:color w:val="000000"/>
          <w:position w:val="0"/>
        </w:rPr>
        <w:t xml:space="preserve"> БВ - въездные;</w:t>
      </w:r>
    </w:p>
    <w:p>
      <w:pPr>
        <w:pStyle w:val="Style12"/>
        <w:numPr>
          <w:ilvl w:val="0"/>
          <w:numId w:val="1"/>
        </w:numPr>
        <w:widowControl w:val="0"/>
        <w:keepNext w:val="0"/>
        <w:keepLines w:val="0"/>
        <w:shd w:val="clear" w:color="auto" w:fill="auto"/>
        <w:bidi w:val="0"/>
        <w:jc w:val="left"/>
        <w:spacing w:before="0" w:after="0"/>
        <w:ind w:left="20" w:right="0" w:firstLine="0"/>
      </w:pPr>
      <w:r>
        <w:rPr>
          <w:lang w:val="ru-RU" w:eastAsia="ru-RU" w:bidi="ru-RU"/>
          <w:w w:val="100"/>
          <w:color w:val="000000"/>
          <w:position w:val="0"/>
        </w:rPr>
        <w:t xml:space="preserve"> БК - криволинейные.</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Исходя из требований инструкции по заполнению заявки предполагается использование участником камней бортовых прямых высотой на выбор 200 или 300 мм, шириной обязательно и 80. и 150 мм.</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Однако, согласно ГОСТ 6665-91 предусмотрены марки камней бортовых, в том числе, БР 100.30.15 и БР 100.20.8. Т.е. БР высотой или 200. или 300. а шириной 80 (высотой 200) и 150 (высотой 300).</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При рассмотрении жалобы представители заказчика пояснили, что указание ширины камней через символ «.» - техническая ошибка, и по данному основанию заявки участников не отклоняли.</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При этом. Комиссия Управления отмечает, что исходя из Таблицы 8 ГОСТ 6665-91 расход бетона для БР 100.30.15 составляет 0.043 куб.м., а для БР 100.20.8 0.016 куб.м.</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В тоже время, участники № 3 и № 7 (допущенные к участию в аукционе) в заявках предлагают к использованию камни бортовые БР высотой 200 мм., шириной 80 мм. и 150 мм. Указывая при этом, расход бетона 0,016 куб.м, и 0.03 куб.м., несоответствующий показателям, установленным ГОСТ 6665-91.</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Комиссия Управления отмечает, что подобное неправомерное указание заказчиком требований к материалу и инструкции по заполнению заявки может привести (привело) к неправомерному допуску или отказу в допуске участникам закупки.</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 xml:space="preserve">На основании изложенного, Комиссия Управления приходит к выводу об </w:t>
      </w:r>
      <w:r>
        <w:rPr>
          <w:rStyle w:val="CharStyle14"/>
        </w:rPr>
        <w:t>обоснованности рассматриваемого довода жалобы</w:t>
      </w:r>
      <w:r>
        <w:rPr>
          <w:lang w:val="ru-RU" w:eastAsia="ru-RU" w:bidi="ru-RU"/>
          <w:w w:val="100"/>
          <w:color w:val="000000"/>
          <w:position w:val="0"/>
        </w:rPr>
        <w:t>.</w:t>
      </w:r>
    </w:p>
    <w:p>
      <w:pPr>
        <w:pStyle w:val="Style12"/>
        <w:numPr>
          <w:ilvl w:val="0"/>
          <w:numId w:val="17"/>
        </w:numPr>
        <w:tabs>
          <w:tab w:leader="none" w:pos="1143" w:val="left"/>
        </w:tabs>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В отношении довода жалобы о не размещении в единой информационной системе проектной документации. Комиссией Управления установлено следующее.</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В соответствии с частью 1 статьи 743 Гражданского кодекса Российской Федерации подрядчик обязан осуществлять строительство и связанные с ним работы в соответствии с технической документацией, определяющей объем, содержание работ и другие предъявляемые к ним требования, и со сметой, определяющей цену работ.</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Проектная документация определяет объем, содержание работ в другие предъявляемые к ним требования.</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Исходя, в том числе, из письма ФАС России от 09.03.2016 № АЦ/14427/16 «О рассмотрении обращения» в соответствии с частью 1 статьи 4 Градостроительного кодекса РФ законодательство о градостроительной деятельности регулирует отношения по территориальному планированию, градостроительному зонированию, планировке территории, архитектурно-строительному проектированию, отношения по строительству объектов капитального строительства, их реконструкции, капитальному ремонту, сносу, а также по эксплуатации зданий, сооружений.</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Постановление Правительства РФ от 16.02.2008 № 87 «О составе разделов проектной документации и требованиях к их содержанию» устанавливает состав разделов проектной документации и требования к содержанию этих разделов:</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а) при подготовке проектной документации на различные виды объектов капитального строительства;</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б) при подготовке проектной документации в отношении отдельных этапов строительства, реконструкции и капитального ремонта объектов капитального строительства.</w:t>
      </w:r>
    </w:p>
    <w:p>
      <w:pPr>
        <w:pStyle w:val="Style12"/>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В рассматриваемом случае, объектом закупки является не строительство, капитальный ремонт или реконструкция, а оказание услуг по обслуживанию систем</w:t>
      </w:r>
    </w:p>
    <w:p>
      <w:pPr>
        <w:pStyle w:val="Style37"/>
        <w:widowControl w:val="0"/>
        <w:keepNext w:val="0"/>
        <w:keepLines w:val="0"/>
        <w:shd w:val="clear" w:color="auto" w:fill="auto"/>
        <w:bidi w:val="0"/>
        <w:spacing w:before="0" w:after="152" w:line="160" w:lineRule="exact"/>
        <w:ind w:left="0" w:right="0" w:firstLine="0"/>
      </w:pPr>
      <w:r>
        <w:rPr>
          <w:lang w:val="ru-RU" w:eastAsia="ru-RU" w:bidi="ru-RU"/>
          <w:w w:val="100"/>
          <w:spacing w:val="0"/>
          <w:color w:val="000000"/>
          <w:position w:val="0"/>
        </w:rPr>
        <w:t>14</w:t>
      </w:r>
    </w:p>
    <w:p>
      <w:pPr>
        <w:pStyle w:val="Style12"/>
        <w:widowControl w:val="0"/>
        <w:keepNext w:val="0"/>
        <w:keepLines w:val="0"/>
        <w:shd w:val="clear" w:color="auto" w:fill="auto"/>
        <w:bidi w:val="0"/>
        <w:jc w:val="both"/>
        <w:spacing w:before="0" w:after="0"/>
        <w:ind w:left="20" w:right="20" w:firstLine="0"/>
      </w:pPr>
      <w:r>
        <w:rPr>
          <w:lang w:val="ru-RU" w:eastAsia="ru-RU" w:bidi="ru-RU"/>
          <w:w w:val="100"/>
          <w:color w:val="000000"/>
          <w:position w:val="0"/>
        </w:rPr>
        <w:t>сигнализации, видеонаблюдения, инженерно-технических средств (систем) обеспечения транспортной безопасности.</w:t>
      </w:r>
    </w:p>
    <w:p>
      <w:pPr>
        <w:pStyle w:val="Style12"/>
        <w:widowControl w:val="0"/>
        <w:keepNext w:val="0"/>
        <w:keepLines w:val="0"/>
        <w:shd w:val="clear" w:color="auto" w:fill="auto"/>
        <w:bidi w:val="0"/>
        <w:jc w:val="both"/>
        <w:spacing w:before="0" w:after="0"/>
        <w:ind w:left="20" w:right="20" w:firstLine="720"/>
      </w:pPr>
      <w:r>
        <w:rPr>
          <w:lang w:val="ru-RU" w:eastAsia="ru-RU" w:bidi="ru-RU"/>
          <w:w w:val="100"/>
          <w:color w:val="000000"/>
          <w:position w:val="0"/>
        </w:rPr>
        <w:t>Тем самым оказание подобных услуг не предполагает наличие проектной документации, и соответственно, размещение такой документации в единой информационной системе.</w:t>
      </w:r>
    </w:p>
    <w:p>
      <w:pPr>
        <w:pStyle w:val="Style12"/>
        <w:widowControl w:val="0"/>
        <w:keepNext w:val="0"/>
        <w:keepLines w:val="0"/>
        <w:shd w:val="clear" w:color="auto" w:fill="auto"/>
        <w:bidi w:val="0"/>
        <w:jc w:val="both"/>
        <w:spacing w:before="0" w:after="0"/>
        <w:ind w:left="20" w:right="20" w:firstLine="720"/>
      </w:pPr>
      <w:r>
        <w:rPr>
          <w:lang w:val="ru-RU" w:eastAsia="ru-RU" w:bidi="ru-RU"/>
          <w:w w:val="100"/>
          <w:color w:val="000000"/>
          <w:position w:val="0"/>
        </w:rPr>
        <w:t xml:space="preserve">На основании изложенного. Комиссия Управления приходит к выводу о </w:t>
      </w:r>
      <w:r>
        <w:rPr>
          <w:rStyle w:val="CharStyle14"/>
        </w:rPr>
        <w:t>необоснованности рассматриваемого довода жалобы</w:t>
      </w:r>
      <w:r>
        <w:rPr>
          <w:lang w:val="ru-RU" w:eastAsia="ru-RU" w:bidi="ru-RU"/>
          <w:w w:val="100"/>
          <w:color w:val="000000"/>
          <w:position w:val="0"/>
        </w:rPr>
        <w:t>.</w:t>
      </w:r>
    </w:p>
    <w:p>
      <w:pPr>
        <w:pStyle w:val="Style12"/>
        <w:widowControl w:val="0"/>
        <w:keepNext w:val="0"/>
        <w:keepLines w:val="0"/>
        <w:shd w:val="clear" w:color="auto" w:fill="auto"/>
        <w:bidi w:val="0"/>
        <w:jc w:val="both"/>
        <w:spacing w:before="0" w:after="294"/>
        <w:ind w:left="20" w:right="20" w:firstLine="720"/>
      </w:pPr>
      <w:r>
        <w:rPr>
          <w:lang w:val="ru-RU" w:eastAsia="ru-RU" w:bidi="ru-RU"/>
          <w:w w:val="100"/>
          <w:color w:val="000000"/>
          <w:position w:val="0"/>
        </w:rPr>
        <w:t>Оценив доводы сторон, изучив материалы по жалобе, документы, размещенные в единой информационной системе Комиссия Управления приходит к выводу о том, что действия заказчика по утверждению документации об электронном аукционе с нарушением требований законодательства о контрактной системе, установленные при рассмотрении доводов жалобы, не соответствуют пунктам 1. 2 части 1 статьи 64. пунктам 1, 2 части 1. части 2 статьи 33 Закона о контрактной системе и содержат признаки административного правонарушения, предусмотренного частью 4.2 статьи 7.30 КоАП РФ. руководствуясь частью 15 статьи 99. статьей 106 Закона о контрактной системе Комиссия Управления</w:t>
      </w:r>
    </w:p>
    <w:p>
      <w:pPr>
        <w:pStyle w:val="Style12"/>
        <w:widowControl w:val="0"/>
        <w:keepNext w:val="0"/>
        <w:keepLines w:val="0"/>
        <w:shd w:val="clear" w:color="auto" w:fill="auto"/>
        <w:bidi w:val="0"/>
        <w:jc w:val="left"/>
        <w:spacing w:before="0" w:after="152" w:line="230" w:lineRule="exact"/>
        <w:ind w:left="4900" w:right="0" w:firstLine="0"/>
      </w:pPr>
      <w:r>
        <w:rPr>
          <w:lang w:val="ru-RU" w:eastAsia="ru-RU" w:bidi="ru-RU"/>
          <w:w w:val="100"/>
          <w:color w:val="000000"/>
          <w:position w:val="0"/>
        </w:rPr>
        <w:t>РЕШИЛА:</w:t>
      </w:r>
    </w:p>
    <w:p>
      <w:pPr>
        <w:pStyle w:val="Style12"/>
        <w:numPr>
          <w:ilvl w:val="0"/>
          <w:numId w:val="23"/>
        </w:numPr>
        <w:widowControl w:val="0"/>
        <w:keepNext w:val="0"/>
        <w:keepLines w:val="0"/>
        <w:shd w:val="clear" w:color="auto" w:fill="auto"/>
        <w:bidi w:val="0"/>
        <w:jc w:val="both"/>
        <w:spacing w:before="0" w:after="0" w:line="293" w:lineRule="exact"/>
        <w:ind w:left="20" w:right="20" w:firstLine="720"/>
      </w:pPr>
      <w:r>
        <w:rPr>
          <w:lang w:val="ru-RU" w:eastAsia="ru-RU" w:bidi="ru-RU"/>
          <w:w w:val="100"/>
          <w:color w:val="000000"/>
          <w:position w:val="0"/>
        </w:rPr>
        <w:t xml:space="preserve"> Признать жалобу общества с ограниченной ответственностью «ПРОТЕКТ 35» на положения документации при проведении государственным заказчиком - ФКУ «Федеральное управление автомобильных дорог «Большая Волга» Федерального дорожного агентства» электронного аукциона «Выполнение работ по объекту «Обслуживание систем сигнализации, видеонаблюдения, инженерно-технических средств (систем) обеспечения транспортной безопасности в Пензенской области» (извещение № 0355100004519000092 опубликовано на сайте </w:t>
      </w:r>
      <w:r>
        <w:fldChar w:fldCharType="begin"/>
      </w:r>
      <w:r>
        <w:rPr>
          <w:color w:val="000000"/>
        </w:rPr>
        <w:instrText> HYPERLINK "http://www.zakupki.gov.ru" </w:instrText>
      </w:r>
      <w:r>
        <w:fldChar w:fldCharType="separate"/>
      </w:r>
      <w:r>
        <w:rPr>
          <w:rStyle w:val="Hyperlink"/>
          <w:lang w:val="en-US" w:eastAsia="en-US" w:bidi="en-US"/>
          <w:w w:val="100"/>
          <w:position w:val="0"/>
        </w:rPr>
        <w:t>www.zakupki.gov.ru</w:t>
      </w:r>
      <w:r>
        <w:fldChar w:fldCharType="end"/>
      </w:r>
      <w:r>
        <w:rPr>
          <w:lang w:val="en-US" w:eastAsia="en-US" w:bidi="en-US"/>
          <w:w w:val="100"/>
          <w:color w:val="000000"/>
          <w:position w:val="0"/>
        </w:rPr>
        <w:t xml:space="preserve"> </w:t>
      </w:r>
      <w:r>
        <w:rPr>
          <w:lang w:val="ru-RU" w:eastAsia="ru-RU" w:bidi="ru-RU"/>
          <w:w w:val="100"/>
          <w:color w:val="000000"/>
          <w:position w:val="0"/>
        </w:rPr>
        <w:t>27.05.2019) частично обоснованной.</w:t>
      </w:r>
    </w:p>
    <w:p>
      <w:pPr>
        <w:pStyle w:val="Style12"/>
        <w:numPr>
          <w:ilvl w:val="0"/>
          <w:numId w:val="23"/>
        </w:numPr>
        <w:widowControl w:val="0"/>
        <w:keepNext w:val="0"/>
        <w:keepLines w:val="0"/>
        <w:shd w:val="clear" w:color="auto" w:fill="auto"/>
        <w:bidi w:val="0"/>
        <w:jc w:val="both"/>
        <w:spacing w:before="0" w:after="0" w:line="293" w:lineRule="exact"/>
        <w:ind w:left="20" w:right="20" w:firstLine="720"/>
      </w:pPr>
      <w:r>
        <w:rPr>
          <w:lang w:val="ru-RU" w:eastAsia="ru-RU" w:bidi="ru-RU"/>
          <w:w w:val="100"/>
          <w:color w:val="000000"/>
          <w:position w:val="0"/>
        </w:rPr>
        <w:t xml:space="preserve"> Признать государственного заказчика нарушившим пункты 1. 2 части 1 статьи 64. пункты 1. 2 части 1, часть 2 статьи 33 Закона о контрактной системе.</w:t>
      </w:r>
    </w:p>
    <w:p>
      <w:pPr>
        <w:pStyle w:val="Style12"/>
        <w:numPr>
          <w:ilvl w:val="0"/>
          <w:numId w:val="23"/>
        </w:numPr>
        <w:widowControl w:val="0"/>
        <w:keepNext w:val="0"/>
        <w:keepLines w:val="0"/>
        <w:shd w:val="clear" w:color="auto" w:fill="auto"/>
        <w:bidi w:val="0"/>
        <w:jc w:val="both"/>
        <w:spacing w:before="0" w:after="0" w:line="293" w:lineRule="exact"/>
        <w:ind w:left="20" w:right="20" w:firstLine="720"/>
      </w:pPr>
      <w:r>
        <w:rPr>
          <w:lang w:val="ru-RU" w:eastAsia="ru-RU" w:bidi="ru-RU"/>
          <w:w w:val="100"/>
          <w:color w:val="000000"/>
          <w:position w:val="0"/>
        </w:rPr>
        <w:t xml:space="preserve"> Выдать государственному заказчику обязательное для исполнения предписание об устранении выявленных нарушений Закона о контрактной системе.</w:t>
      </w:r>
    </w:p>
    <w:p>
      <w:pPr>
        <w:pStyle w:val="Style12"/>
        <w:numPr>
          <w:ilvl w:val="0"/>
          <w:numId w:val="23"/>
        </w:numPr>
        <w:widowControl w:val="0"/>
        <w:keepNext w:val="0"/>
        <w:keepLines w:val="0"/>
        <w:shd w:val="clear" w:color="auto" w:fill="auto"/>
        <w:bidi w:val="0"/>
        <w:jc w:val="both"/>
        <w:spacing w:before="0" w:after="128" w:line="312" w:lineRule="exact"/>
        <w:ind w:left="20" w:right="20" w:firstLine="720"/>
      </w:pPr>
      <w:r>
        <w:rPr>
          <w:lang w:val="ru-RU" w:eastAsia="ru-RU" w:bidi="ru-RU"/>
          <w:w w:val="100"/>
          <w:color w:val="000000"/>
          <w:position w:val="0"/>
        </w:rPr>
        <w:t xml:space="preserve"> Передать материалы по жалобе должностному лицу Управления для рассмотрения вопроса о возбуждении дела об административном правонарушении.</w:t>
      </w:r>
    </w:p>
    <w:p>
      <w:pPr>
        <w:pStyle w:val="Style12"/>
        <w:widowControl w:val="0"/>
        <w:keepNext w:val="0"/>
        <w:keepLines w:val="0"/>
        <w:shd w:val="clear" w:color="auto" w:fill="auto"/>
        <w:bidi w:val="0"/>
        <w:jc w:val="both"/>
        <w:spacing w:before="0" w:after="298" w:line="302" w:lineRule="exact"/>
        <w:ind w:left="20" w:right="20" w:firstLine="720"/>
      </w:pPr>
      <w:r>
        <w:rPr>
          <w:lang w:val="ru-RU" w:eastAsia="ru-RU" w:bidi="ru-RU"/>
          <w:w w:val="100"/>
          <w:color w:val="000000"/>
          <w:position w:val="0"/>
        </w:rPr>
        <w:t>В соответствии с частью 9 статьи 106 Закона о контрактной системе решение, принятое по результатам рассмотрения жалобы но существу, может быть обжаловано в судебном порядке в течение трех месяцев с даты его принятия.</w:t>
      </w:r>
    </w:p>
    <w:p>
      <w:pPr>
        <w:pStyle w:val="Style12"/>
        <w:widowControl w:val="0"/>
        <w:keepNext w:val="0"/>
        <w:keepLines w:val="0"/>
        <w:shd w:val="clear" w:color="auto" w:fill="auto"/>
        <w:bidi w:val="0"/>
        <w:jc w:val="both"/>
        <w:spacing w:before="0" w:after="303" w:line="230" w:lineRule="exact"/>
        <w:ind w:left="20" w:right="0" w:firstLine="0"/>
      </w:pPr>
      <w:r>
        <w:rPr>
          <w:lang w:val="ru-RU" w:eastAsia="ru-RU" w:bidi="ru-RU"/>
          <w:w w:val="100"/>
          <w:color w:val="000000"/>
          <w:position w:val="0"/>
        </w:rPr>
        <w:t>Заместитель председателя Комиссии</w:t>
      </w:r>
    </w:p>
    <w:p>
      <w:pPr>
        <w:pStyle w:val="Style12"/>
        <w:widowControl w:val="0"/>
        <w:keepNext w:val="0"/>
        <w:keepLines w:val="0"/>
        <w:shd w:val="clear" w:color="auto" w:fill="auto"/>
        <w:bidi w:val="0"/>
        <w:jc w:val="both"/>
        <w:spacing w:before="0" w:after="157" w:line="230" w:lineRule="exact"/>
        <w:ind w:left="20" w:right="0" w:firstLine="0"/>
      </w:pPr>
      <w:r>
        <w:rPr>
          <w:lang w:val="ru-RU" w:eastAsia="ru-RU" w:bidi="ru-RU"/>
          <w:w w:val="100"/>
          <w:color w:val="000000"/>
          <w:position w:val="0"/>
        </w:rPr>
        <w:t>Члены Комиссии</w:t>
      </w:r>
    </w:p>
    <w:p>
      <w:pPr>
        <w:pStyle w:val="Style39"/>
        <w:widowControl w:val="0"/>
        <w:keepNext/>
        <w:keepLines/>
        <w:shd w:val="clear" w:color="auto" w:fill="auto"/>
        <w:bidi w:val="0"/>
        <w:spacing w:before="0" w:after="0" w:line="280" w:lineRule="exact"/>
        <w:ind w:left="20" w:right="0" w:firstLine="0"/>
        <w:sectPr>
          <w:type w:val="continuous"/>
          <w:pgSz w:w="16838" w:h="23810"/>
          <w:pgMar w:top="4701" w:left="3835" w:right="2769" w:bottom="4428" w:header="0" w:footer="3" w:gutter="0"/>
          <w:rtlGutter w:val="0"/>
          <w:cols w:space="720"/>
          <w:noEndnote/>
          <w:docGrid w:linePitch="360"/>
        </w:sectPr>
      </w:pPr>
      <w:bookmarkStart w:id="0" w:name="bookmark0"/>
      <w:r>
        <w:rPr>
          <w:rStyle w:val="CharStyle41"/>
        </w:rPr>
        <w:t>'Л</w:t>
      </w:r>
      <w:bookmarkEnd w:id="0"/>
    </w:p>
    <w:p>
      <w:pPr>
        <w:pStyle w:val="Style15"/>
        <w:widowControl w:val="0"/>
        <w:keepNext w:val="0"/>
        <w:keepLines w:val="0"/>
        <w:shd w:val="clear" w:color="auto" w:fill="auto"/>
        <w:bidi w:val="0"/>
        <w:spacing w:before="24" w:after="176" w:line="278" w:lineRule="exact"/>
        <w:ind w:left="0" w:right="0" w:firstLine="0"/>
      </w:pPr>
      <w:r>
        <w:rPr>
          <w:rStyle w:val="CharStyle42"/>
          <w:b/>
          <w:bCs/>
        </w:rPr>
        <w:t>ФЕДЕРАЛЬНАЯ АНТИМОНОПОЛЬНАЯ СЛУЖБА</w:t>
      </w:r>
    </w:p>
    <w:p>
      <w:pPr>
        <w:pStyle w:val="Style3"/>
        <w:widowControl w:val="0"/>
        <w:keepNext w:val="0"/>
        <w:keepLines w:val="0"/>
        <w:shd w:val="clear" w:color="auto" w:fill="auto"/>
        <w:bidi w:val="0"/>
        <w:spacing w:before="0" w:after="253" w:line="283" w:lineRule="exact"/>
        <w:ind w:left="0" w:right="0" w:firstLine="0"/>
      </w:pPr>
      <w:r>
        <w:rPr>
          <w:rStyle w:val="CharStyle5"/>
          <w:b/>
          <w:bCs/>
        </w:rPr>
        <w:t>УПРАВЛЕНИЕ Федеральной антимонопольной службы по Пензенской области</w:t>
      </w:r>
    </w:p>
    <w:p>
      <w:pPr>
        <w:pStyle w:val="Style6"/>
        <w:widowControl w:val="0"/>
        <w:keepNext w:val="0"/>
        <w:keepLines w:val="0"/>
        <w:shd w:val="clear" w:color="auto" w:fill="auto"/>
        <w:bidi w:val="0"/>
        <w:spacing w:before="0" w:after="510"/>
        <w:ind w:left="0" w:right="0" w:firstLine="0"/>
      </w:pPr>
      <w:r>
        <w:rPr>
          <w:rStyle w:val="CharStyle8"/>
        </w:rPr>
        <w:t xml:space="preserve">ул. Урицкого, 127. </w:t>
      </w:r>
      <w:r>
        <w:rPr>
          <w:rStyle w:val="CharStyle43"/>
        </w:rPr>
        <w:t xml:space="preserve">г. </w:t>
      </w:r>
      <w:r>
        <w:rPr>
          <w:rStyle w:val="CharStyle8"/>
        </w:rPr>
        <w:t xml:space="preserve">Пенза, 440000 тел. (8412) 55-14-02, факс (8412) 52-03-70 </w:t>
      </w:r>
      <w:r>
        <w:rPr>
          <w:rStyle w:val="CharStyle8"/>
          <w:lang w:val="en-US" w:eastAsia="en-US" w:bidi="en-US"/>
        </w:rPr>
        <w:t>e-mail:</w:t>
      </w:r>
      <w:r>
        <w:fldChar w:fldCharType="begin"/>
      </w:r>
      <w:r>
        <w:rPr>
          <w:rStyle w:val="CharStyle8"/>
        </w:rPr>
        <w:instrText> HYPERLINK "mailto:to58@fas.gov.ru" </w:instrText>
      </w:r>
      <w:r>
        <w:fldChar w:fldCharType="separate"/>
      </w:r>
      <w:r>
        <w:rPr>
          <w:rStyle w:val="Hyperlink"/>
          <w:lang w:val="en-US" w:eastAsia="en-US" w:bidi="en-US"/>
        </w:rPr>
        <w:t>to58@fas.gov.ru</w:t>
      </w:r>
      <w:r>
        <w:fldChar w:fldCharType="end"/>
      </w:r>
    </w:p>
    <w:p>
      <w:pPr>
        <w:pStyle w:val="Style12"/>
        <w:tabs>
          <w:tab w:leader="underscore" w:pos="2142" w:val="right"/>
        </w:tabs>
        <w:widowControl w:val="0"/>
        <w:keepNext w:val="0"/>
        <w:keepLines w:val="0"/>
        <w:shd w:val="clear" w:color="auto" w:fill="auto"/>
        <w:bidi w:val="0"/>
        <w:jc w:val="both"/>
        <w:spacing w:before="0" w:after="0" w:line="230" w:lineRule="exact"/>
        <w:ind w:left="380" w:right="0" w:firstLine="0"/>
      </w:pPr>
      <w:r>
        <w:rPr>
          <w:rStyle w:val="CharStyle44"/>
        </w:rPr>
        <w:t>На №</w:t>
      </w:r>
      <w:r>
        <w:rPr>
          <w:rStyle w:val="CharStyle45"/>
        </w:rPr>
        <w:tab/>
        <w:t xml:space="preserve"> </w:t>
      </w:r>
      <w:r>
        <w:rPr>
          <w:rStyle w:val="CharStyle44"/>
        </w:rPr>
        <w:t>от</w:t>
      </w:r>
    </w:p>
    <w:p>
      <w:pPr>
        <w:pStyle w:val="Style46"/>
        <w:widowControl w:val="0"/>
        <w:keepNext/>
        <w:keepLines/>
        <w:shd w:val="clear" w:color="auto" w:fill="auto"/>
        <w:bidi w:val="0"/>
        <w:jc w:val="left"/>
        <w:spacing w:before="0" w:after="12" w:line="280" w:lineRule="exact"/>
        <w:ind w:left="20" w:right="0" w:firstLine="0"/>
      </w:pPr>
      <w:bookmarkStart w:id="1" w:name="bookmark1"/>
      <w:r>
        <w:rPr>
          <w:lang w:val="ru-RU" w:eastAsia="ru-RU" w:bidi="ru-RU"/>
          <w:color w:val="000000"/>
          <w:position w:val="0"/>
        </w:rPr>
        <w:t>Заявитель:</w:t>
      </w:r>
      <w:bookmarkEnd w:id="1"/>
    </w:p>
    <w:p>
      <w:pPr>
        <w:pStyle w:val="Style12"/>
        <w:widowControl w:val="0"/>
        <w:keepNext w:val="0"/>
        <w:keepLines w:val="0"/>
        <w:shd w:val="clear" w:color="auto" w:fill="auto"/>
        <w:bidi w:val="0"/>
        <w:jc w:val="left"/>
        <w:spacing w:before="0" w:after="0" w:line="230" w:lineRule="exact"/>
        <w:ind w:left="20" w:right="0" w:firstLine="0"/>
      </w:pPr>
      <w:r>
        <w:rPr>
          <w:lang w:val="ru-RU" w:eastAsia="ru-RU" w:bidi="ru-RU"/>
          <w:w w:val="100"/>
          <w:color w:val="000000"/>
          <w:position w:val="0"/>
        </w:rPr>
        <w:t>ООО «ПРОТЕКТ 35»</w:t>
      </w:r>
    </w:p>
    <w:p>
      <w:pPr>
        <w:pStyle w:val="Style12"/>
        <w:widowControl w:val="0"/>
        <w:keepNext w:val="0"/>
        <w:keepLines w:val="0"/>
        <w:shd w:val="clear" w:color="auto" w:fill="auto"/>
        <w:bidi w:val="0"/>
        <w:jc w:val="left"/>
        <w:spacing w:before="0" w:after="0" w:line="317" w:lineRule="exact"/>
        <w:ind w:left="20" w:right="80" w:firstLine="0"/>
      </w:pPr>
      <w:r>
        <w:rPr>
          <w:lang w:val="ru-RU" w:eastAsia="ru-RU" w:bidi="ru-RU"/>
          <w:w w:val="100"/>
          <w:color w:val="000000"/>
          <w:position w:val="0"/>
        </w:rPr>
        <w:t>Казакова ул., д. 2, кв. 108. г. Вологда. 160022</w:t>
      </w:r>
    </w:p>
    <w:p>
      <w:pPr>
        <w:pStyle w:val="Style12"/>
        <w:widowControl w:val="0"/>
        <w:keepNext w:val="0"/>
        <w:keepLines w:val="0"/>
        <w:shd w:val="clear" w:color="auto" w:fill="auto"/>
        <w:bidi w:val="0"/>
        <w:jc w:val="left"/>
        <w:spacing w:before="0" w:after="298" w:line="230" w:lineRule="exact"/>
        <w:ind w:left="20" w:right="0" w:firstLine="0"/>
      </w:pPr>
      <w:r>
        <w:rPr>
          <w:rStyle w:val="CharStyle14"/>
          <w:lang w:val="en-US" w:eastAsia="en-US" w:bidi="en-US"/>
        </w:rPr>
        <w:t xml:space="preserve">Protect35ffimail.ru. </w:t>
      </w:r>
      <w:r>
        <w:fldChar w:fldCharType="begin"/>
      </w:r>
      <w:r>
        <w:rPr>
          <w:rStyle w:val="CharStyle14"/>
        </w:rPr>
        <w:instrText> HYPERLINK "mailto:protect35@vandex.ru" </w:instrText>
      </w:r>
      <w:r>
        <w:fldChar w:fldCharType="separate"/>
      </w:r>
      <w:r>
        <w:rPr>
          <w:rStyle w:val="Hyperlink"/>
          <w:lang w:val="en-US" w:eastAsia="en-US" w:bidi="en-US"/>
        </w:rPr>
        <w:t>protect35@vandex.ru</w:t>
      </w:r>
      <w:r>
        <w:fldChar w:fldCharType="end"/>
      </w:r>
    </w:p>
    <w:p>
      <w:pPr>
        <w:pStyle w:val="Style12"/>
        <w:widowControl w:val="0"/>
        <w:keepNext w:val="0"/>
        <w:keepLines w:val="0"/>
        <w:shd w:val="clear" w:color="auto" w:fill="auto"/>
        <w:bidi w:val="0"/>
        <w:jc w:val="left"/>
        <w:spacing w:before="0" w:after="0" w:line="230" w:lineRule="exact"/>
        <w:ind w:left="20" w:right="0" w:firstLine="0"/>
      </w:pPr>
      <w:r>
        <w:rPr>
          <w:lang w:val="ru-RU" w:eastAsia="ru-RU" w:bidi="ru-RU"/>
          <w:w w:val="100"/>
          <w:color w:val="000000"/>
          <w:position w:val="0"/>
        </w:rPr>
        <w:t>Государственный заказчик:</w:t>
      </w:r>
    </w:p>
    <w:p>
      <w:pPr>
        <w:pStyle w:val="Style12"/>
        <w:widowControl w:val="0"/>
        <w:keepNext w:val="0"/>
        <w:keepLines w:val="0"/>
        <w:shd w:val="clear" w:color="auto" w:fill="auto"/>
        <w:bidi w:val="0"/>
        <w:jc w:val="left"/>
        <w:spacing w:before="0" w:after="240"/>
        <w:ind w:left="20" w:right="0" w:firstLine="0"/>
      </w:pPr>
      <w:r>
        <w:rPr>
          <w:lang w:val="ru-RU" w:eastAsia="ru-RU" w:bidi="ru-RU"/>
          <w:w w:val="100"/>
          <w:color w:val="000000"/>
          <w:position w:val="0"/>
        </w:rPr>
        <w:t xml:space="preserve">ФКУ «Федеральное управление автомобильных дорог «Большая Волга» Федерального дорожного агентства» Кураева ул.. 1-а. г. 11енза. 440000 </w:t>
      </w:r>
      <w:r>
        <w:rPr>
          <w:rStyle w:val="CharStyle14"/>
          <w:lang w:val="en-US" w:eastAsia="en-US" w:bidi="en-US"/>
        </w:rPr>
        <w:t xml:space="preserve">goszakaz-penza@:mai </w:t>
      </w:r>
      <w:r>
        <w:rPr>
          <w:rStyle w:val="CharStyle14"/>
        </w:rPr>
        <w:t xml:space="preserve">1 </w:t>
      </w:r>
      <w:r>
        <w:rPr>
          <w:rStyle w:val="CharStyle14"/>
          <w:lang w:val="en-US" w:eastAsia="en-US" w:bidi="en-US"/>
        </w:rPr>
        <w:t>.ru</w:t>
      </w:r>
    </w:p>
    <w:p>
      <w:pPr>
        <w:pStyle w:val="Style12"/>
        <w:widowControl w:val="0"/>
        <w:keepNext w:val="0"/>
        <w:keepLines w:val="0"/>
        <w:shd w:val="clear" w:color="auto" w:fill="auto"/>
        <w:bidi w:val="0"/>
        <w:jc w:val="left"/>
        <w:spacing w:before="0" w:after="0"/>
        <w:ind w:left="20" w:right="0" w:firstLine="0"/>
      </w:pPr>
      <w:r>
        <w:rPr>
          <w:lang w:val="ru-RU" w:eastAsia="ru-RU" w:bidi="ru-RU"/>
          <w:w w:val="100"/>
          <w:color w:val="000000"/>
          <w:position w:val="0"/>
        </w:rPr>
        <w:t>Оператор электронной площадки АО «ЕЭТП»</w:t>
      </w:r>
    </w:p>
    <w:p>
      <w:pPr>
        <w:pStyle w:val="Style12"/>
        <w:widowControl w:val="0"/>
        <w:keepNext w:val="0"/>
        <w:keepLines w:val="0"/>
        <w:shd w:val="clear" w:color="auto" w:fill="auto"/>
        <w:bidi w:val="0"/>
        <w:jc w:val="left"/>
        <w:spacing w:before="0" w:after="0" w:line="312" w:lineRule="exact"/>
        <w:ind w:left="20" w:right="0" w:firstLine="0"/>
        <w:sectPr>
          <w:type w:val="continuous"/>
          <w:pgSz w:w="16838" w:h="23810"/>
          <w:pgMar w:top="4253" w:left="4111" w:right="3612" w:bottom="4253" w:header="0" w:footer="3" w:gutter="0"/>
          <w:rtlGutter w:val="0"/>
          <w:cols w:num="2" w:space="197"/>
          <w:noEndnote/>
          <w:docGrid w:linePitch="360"/>
        </w:sectPr>
      </w:pPr>
      <w:r>
        <w:rPr>
          <w:lang w:val="ru-RU" w:eastAsia="ru-RU" w:bidi="ru-RU"/>
          <w:w w:val="100"/>
          <w:color w:val="000000"/>
          <w:position w:val="0"/>
        </w:rPr>
        <w:t xml:space="preserve">Тестовекая ул., д. 10. г. Москва. 123112 </w:t>
      </w:r>
      <w:r>
        <w:fldChar w:fldCharType="begin"/>
      </w:r>
      <w:r>
        <w:rPr>
          <w:rStyle w:val="CharStyle14"/>
        </w:rPr>
        <w:instrText> HYPERLINK "mailto:auditors@etpz.ru" </w:instrText>
      </w:r>
      <w:r>
        <w:fldChar w:fldCharType="separate"/>
      </w:r>
      <w:r>
        <w:rPr>
          <w:rStyle w:val="Hyperlink"/>
          <w:lang w:val="en-US" w:eastAsia="en-US" w:bidi="en-US"/>
        </w:rPr>
        <w:t>auditors@etpz.ru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1" w:after="41"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5"/>
        <w:widowControl w:val="0"/>
        <w:keepNext w:val="0"/>
        <w:keepLines w:val="0"/>
        <w:shd w:val="clear" w:color="auto" w:fill="auto"/>
        <w:bidi w:val="0"/>
        <w:spacing w:before="0" w:after="286" w:line="288" w:lineRule="exact"/>
        <w:ind w:left="0" w:right="0" w:firstLine="0"/>
      </w:pPr>
      <w:r>
        <w:rPr>
          <w:lang w:val="ru-RU" w:eastAsia="ru-RU" w:bidi="ru-RU"/>
          <w:w w:val="100"/>
          <w:color w:val="000000"/>
          <w:position w:val="0"/>
        </w:rPr>
        <w:t>ПРЕДПИСАНИЕ об устранении нарушений законодательства о контрактной системе по жалобе № 058/06/106-338/2019</w:t>
      </w:r>
    </w:p>
    <w:p>
      <w:pPr>
        <w:pStyle w:val="Style12"/>
        <w:tabs>
          <w:tab w:leader="none" w:pos="6880" w:val="left"/>
        </w:tabs>
        <w:widowControl w:val="0"/>
        <w:keepNext w:val="0"/>
        <w:keepLines w:val="0"/>
        <w:shd w:val="clear" w:color="auto" w:fill="auto"/>
        <w:bidi w:val="0"/>
        <w:jc w:val="both"/>
        <w:spacing w:before="0" w:after="158" w:line="230" w:lineRule="exact"/>
        <w:ind w:left="40" w:right="0" w:firstLine="0"/>
      </w:pPr>
      <w:r>
        <w:rPr>
          <w:lang w:val="ru-RU" w:eastAsia="ru-RU" w:bidi="ru-RU"/>
          <w:w w:val="100"/>
          <w:color w:val="000000"/>
          <w:position w:val="0"/>
        </w:rPr>
        <w:t>20 июня 2019 года</w:t>
        <w:tab/>
        <w:t>г. Пенза, ул. Урицкого. 127</w:t>
      </w:r>
    </w:p>
    <w:p>
      <w:pPr>
        <w:pStyle w:val="Style12"/>
        <w:widowControl w:val="0"/>
        <w:keepNext w:val="0"/>
        <w:keepLines w:val="0"/>
        <w:shd w:val="clear" w:color="auto" w:fill="auto"/>
        <w:bidi w:val="0"/>
        <w:jc w:val="both"/>
        <w:spacing w:before="0" w:after="0"/>
        <w:ind w:left="40" w:right="20" w:firstLine="700"/>
      </w:pPr>
      <w:r>
        <w:rPr>
          <w:lang w:val="ru-RU" w:eastAsia="ru-RU" w:bidi="ru-RU"/>
          <w:w w:val="100"/>
          <w:color w:val="000000"/>
          <w:position w:val="0"/>
        </w:rPr>
        <w:t>Комиссия Пензенского УФЛС России по контролю в сфере закупок (далее - Комиссия Управления) в составе:</w:t>
      </w:r>
    </w:p>
    <w:p>
      <w:pPr>
        <w:pStyle w:val="Style12"/>
        <w:numPr>
          <w:ilvl w:val="0"/>
          <w:numId w:val="1"/>
        </w:numPr>
        <w:widowControl w:val="0"/>
        <w:keepNext w:val="0"/>
        <w:keepLines w:val="0"/>
        <w:shd w:val="clear" w:color="auto" w:fill="auto"/>
        <w:bidi w:val="0"/>
        <w:jc w:val="left"/>
        <w:spacing w:before="0" w:after="0"/>
        <w:ind w:left="1080" w:right="20" w:hanging="360"/>
      </w:pPr>
      <w:r>
        <w:rPr>
          <w:lang w:val="ru-RU" w:eastAsia="ru-RU" w:bidi="ru-RU"/>
          <w:w w:val="100"/>
          <w:color w:val="000000"/>
          <w:position w:val="0"/>
        </w:rPr>
        <w:t xml:space="preserve"> Казаковой Е.А. - начальника отдела контроля закупок, заместителя председателя Комиссии.</w:t>
      </w:r>
    </w:p>
    <w:p>
      <w:pPr>
        <w:pStyle w:val="Style12"/>
        <w:numPr>
          <w:ilvl w:val="0"/>
          <w:numId w:val="1"/>
        </w:numPr>
        <w:widowControl w:val="0"/>
        <w:keepNext w:val="0"/>
        <w:keepLines w:val="0"/>
        <w:shd w:val="clear" w:color="auto" w:fill="auto"/>
        <w:bidi w:val="0"/>
        <w:jc w:val="left"/>
        <w:spacing w:before="0" w:after="0"/>
        <w:ind w:left="1080" w:right="20" w:hanging="360"/>
      </w:pPr>
      <w:r>
        <w:rPr>
          <w:lang w:val="ru-RU" w:eastAsia="ru-RU" w:bidi="ru-RU"/>
          <w:w w:val="100"/>
          <w:color w:val="000000"/>
          <w:position w:val="0"/>
        </w:rPr>
        <w:t xml:space="preserve"> Хохловой М.В. - главного специалиста-эксперта отдела контроля закупок, члена Комиссии,</w:t>
      </w:r>
    </w:p>
    <w:p>
      <w:pPr>
        <w:pStyle w:val="Style12"/>
        <w:numPr>
          <w:ilvl w:val="0"/>
          <w:numId w:val="1"/>
        </w:numPr>
        <w:widowControl w:val="0"/>
        <w:keepNext w:val="0"/>
        <w:keepLines w:val="0"/>
        <w:shd w:val="clear" w:color="auto" w:fill="auto"/>
        <w:bidi w:val="0"/>
        <w:jc w:val="left"/>
        <w:spacing w:before="0" w:after="0"/>
        <w:ind w:left="1080" w:right="20" w:hanging="360"/>
      </w:pPr>
      <w:r>
        <w:rPr>
          <w:lang w:val="ru-RU" w:eastAsia="ru-RU" w:bidi="ru-RU"/>
          <w:w w:val="100"/>
          <w:color w:val="000000"/>
          <w:position w:val="0"/>
        </w:rPr>
        <w:t xml:space="preserve"> Пичугиной А.А. - ведущего специалиста-эксперта отдела контроля закупок, члена Комиссии.</w:t>
      </w:r>
    </w:p>
    <w:p>
      <w:pPr>
        <w:pStyle w:val="Style12"/>
        <w:widowControl w:val="0"/>
        <w:keepNext w:val="0"/>
        <w:keepLines w:val="0"/>
        <w:shd w:val="clear" w:color="auto" w:fill="auto"/>
        <w:bidi w:val="0"/>
        <w:jc w:val="both"/>
        <w:spacing w:before="0" w:after="414"/>
        <w:ind w:left="40" w:right="20" w:firstLine="700"/>
      </w:pPr>
      <w:r>
        <w:rPr>
          <w:lang w:val="ru-RU" w:eastAsia="ru-RU" w:bidi="ru-RU"/>
          <w:w w:val="100"/>
          <w:color w:val="000000"/>
          <w:position w:val="0"/>
        </w:rPr>
        <w:t xml:space="preserve">на основании решения от 20.06.2019 № 058/06/106-338/2019 по результатам рассмотрения жалобы общества с ограниченной ответственностью «ПРОТЕКТ 35» на положения документации при проведении государственным заказчиком - ФКУ «Федеральное управление автомобильных дорог «Большая Волга» Федерального дорожного агентства» электронного аукциона «Выполнение работ но объекту «Обслуживание систем сигнализации, видсонаблюдения. инженерно-технических средств (систем) обеспечения транспортной безопасности в Пензенской области» (извещение № 0355100004519000092 опубликовано на сайте </w:t>
      </w:r>
      <w:r>
        <w:fldChar w:fldCharType="begin"/>
      </w:r>
      <w:r>
        <w:rPr>
          <w:color w:val="000000"/>
        </w:rPr>
        <w:instrText> HYPERLINK "http://www.zakupki.gov.ru" </w:instrText>
      </w:r>
      <w:r>
        <w:fldChar w:fldCharType="separate"/>
      </w:r>
      <w:r>
        <w:rPr>
          <w:rStyle w:val="Hyperlink"/>
          <w:lang w:val="en-US" w:eastAsia="en-US" w:bidi="en-US"/>
          <w:w w:val="100"/>
          <w:position w:val="0"/>
        </w:rPr>
        <w:t>www.zakupki.gov.ru</w:t>
      </w:r>
      <w:r>
        <w:fldChar w:fldCharType="end"/>
      </w:r>
      <w:r>
        <w:rPr>
          <w:lang w:val="en-US" w:eastAsia="en-US" w:bidi="en-US"/>
          <w:w w:val="100"/>
          <w:color w:val="000000"/>
          <w:position w:val="0"/>
        </w:rPr>
        <w:t xml:space="preserve"> </w:t>
      </w:r>
      <w:r>
        <w:rPr>
          <w:lang w:val="ru-RU" w:eastAsia="ru-RU" w:bidi="ru-RU"/>
          <w:w w:val="100"/>
          <w:color w:val="000000"/>
          <w:position w:val="0"/>
        </w:rPr>
        <w:t>27.05.2019) на основании части 22 сгатьи 99 Федерального закона от 05.04.2013 № 44- 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2"/>
        <w:widowControl w:val="0"/>
        <w:keepNext w:val="0"/>
        <w:keepLines w:val="0"/>
        <w:shd w:val="clear" w:color="auto" w:fill="auto"/>
        <w:bidi w:val="0"/>
        <w:jc w:val="right"/>
        <w:spacing w:before="0" w:after="0" w:line="230" w:lineRule="exact"/>
        <w:ind w:left="0" w:right="220" w:firstLine="0"/>
      </w:pPr>
      <w:r>
        <w:rPr>
          <w:lang w:val="ru-RU" w:eastAsia="ru-RU" w:bidi="ru-RU"/>
          <w:w w:val="100"/>
          <w:color w:val="000000"/>
          <w:position w:val="0"/>
        </w:rPr>
        <w:t>033581</w:t>
      </w:r>
    </w:p>
    <w:p>
      <w:pPr>
        <w:pStyle w:val="Style12"/>
        <w:widowControl w:val="0"/>
        <w:keepNext w:val="0"/>
        <w:keepLines w:val="0"/>
        <w:shd w:val="clear" w:color="auto" w:fill="auto"/>
        <w:bidi w:val="0"/>
        <w:jc w:val="left"/>
        <w:spacing w:before="0" w:after="250" w:line="230" w:lineRule="exact"/>
        <w:ind w:left="4220" w:right="0" w:firstLine="0"/>
      </w:pPr>
      <w:r>
        <w:rPr>
          <w:lang w:val="ru-RU" w:eastAsia="ru-RU" w:bidi="ru-RU"/>
          <w:w w:val="100"/>
          <w:color w:val="000000"/>
          <w:position w:val="0"/>
        </w:rPr>
        <w:t>ПРЕДПИСЫВАЕТ:</w:t>
      </w:r>
    </w:p>
    <w:p>
      <w:pPr>
        <w:pStyle w:val="Style12"/>
        <w:numPr>
          <w:ilvl w:val="0"/>
          <w:numId w:val="25"/>
        </w:numPr>
        <w:widowControl w:val="0"/>
        <w:keepNext w:val="0"/>
        <w:keepLines w:val="0"/>
        <w:shd w:val="clear" w:color="auto" w:fill="auto"/>
        <w:bidi w:val="0"/>
        <w:jc w:val="both"/>
        <w:spacing w:before="0" w:after="0" w:line="302" w:lineRule="exact"/>
        <w:ind w:left="360" w:right="20" w:hanging="340"/>
      </w:pPr>
      <w:r>
        <w:rPr>
          <w:lang w:val="ru-RU" w:eastAsia="ru-RU" w:bidi="ru-RU"/>
          <w:w w:val="100"/>
          <w:color w:val="000000"/>
          <w:position w:val="0"/>
        </w:rPr>
        <w:t xml:space="preserve"> Государственному заказчику - ФКУ «Федеральное управление автомобильных дорог «Большая Волга» Федерального дорожного агентства» в срок до 05.07.2019 устранить нарушение пунктов 1, 2 части 1 статьи 64. пунктов 1. 2 части 1 статьи 33. части 2 статьи 33 Закона о контрактной системе, для чего необходимо:</w:t>
      </w:r>
    </w:p>
    <w:p>
      <w:pPr>
        <w:pStyle w:val="Style12"/>
        <w:numPr>
          <w:ilvl w:val="0"/>
          <w:numId w:val="1"/>
        </w:numPr>
        <w:widowControl w:val="0"/>
        <w:keepNext w:val="0"/>
        <w:keepLines w:val="0"/>
        <w:shd w:val="clear" w:color="auto" w:fill="auto"/>
        <w:bidi w:val="0"/>
        <w:jc w:val="both"/>
        <w:spacing w:before="0" w:after="24" w:line="230" w:lineRule="exact"/>
        <w:ind w:left="720" w:right="0" w:hanging="360"/>
      </w:pPr>
      <w:r>
        <w:rPr>
          <w:lang w:val="ru-RU" w:eastAsia="ru-RU" w:bidi="ru-RU"/>
          <w:w w:val="100"/>
          <w:color w:val="000000"/>
          <w:position w:val="0"/>
        </w:rPr>
        <w:t xml:space="preserve"> отменить протоколы, составленные в ходе проведения электронного аукциона;</w:t>
      </w:r>
    </w:p>
    <w:p>
      <w:pPr>
        <w:pStyle w:val="Style12"/>
        <w:numPr>
          <w:ilvl w:val="0"/>
          <w:numId w:val="1"/>
        </w:numPr>
        <w:widowControl w:val="0"/>
        <w:keepNext w:val="0"/>
        <w:keepLines w:val="0"/>
        <w:shd w:val="clear" w:color="auto" w:fill="auto"/>
        <w:bidi w:val="0"/>
        <w:jc w:val="both"/>
        <w:spacing w:before="0" w:after="14" w:line="230" w:lineRule="exact"/>
        <w:ind w:left="720" w:right="0" w:hanging="360"/>
      </w:pPr>
      <w:r>
        <w:rPr>
          <w:lang w:val="ru-RU" w:eastAsia="ru-RU" w:bidi="ru-RU"/>
          <w:w w:val="100"/>
          <w:color w:val="000000"/>
          <w:position w:val="0"/>
        </w:rPr>
        <w:t xml:space="preserve"> возвратить участникам закупки заявки на участие в закупке;</w:t>
      </w:r>
    </w:p>
    <w:p>
      <w:pPr>
        <w:pStyle w:val="Style12"/>
        <w:numPr>
          <w:ilvl w:val="0"/>
          <w:numId w:val="1"/>
        </w:numPr>
        <w:widowControl w:val="0"/>
        <w:keepNext w:val="0"/>
        <w:keepLines w:val="0"/>
        <w:shd w:val="clear" w:color="auto" w:fill="auto"/>
        <w:bidi w:val="0"/>
        <w:jc w:val="both"/>
        <w:spacing w:before="0" w:after="0" w:line="302" w:lineRule="exact"/>
        <w:ind w:left="720" w:right="0" w:hanging="360"/>
      </w:pPr>
      <w:r>
        <w:rPr>
          <w:lang w:val="ru-RU" w:eastAsia="ru-RU" w:bidi="ru-RU"/>
          <w:w w:val="100"/>
          <w:color w:val="000000"/>
          <w:position w:val="0"/>
        </w:rPr>
        <w:t xml:space="preserve"> внести изменения в положения документации об электронном аукционе;</w:t>
      </w:r>
    </w:p>
    <w:p>
      <w:pPr>
        <w:pStyle w:val="Style12"/>
        <w:numPr>
          <w:ilvl w:val="0"/>
          <w:numId w:val="1"/>
        </w:numPr>
        <w:widowControl w:val="0"/>
        <w:keepNext w:val="0"/>
        <w:keepLines w:val="0"/>
        <w:shd w:val="clear" w:color="auto" w:fill="auto"/>
        <w:bidi w:val="0"/>
        <w:jc w:val="both"/>
        <w:spacing w:before="0" w:after="0" w:line="302" w:lineRule="exact"/>
        <w:ind w:left="720" w:right="20" w:hanging="360"/>
      </w:pPr>
      <w:r>
        <w:rPr>
          <w:lang w:val="ru-RU" w:eastAsia="ru-RU" w:bidi="ru-RU"/>
          <w:w w:val="100"/>
          <w:color w:val="000000"/>
          <w:position w:val="0"/>
        </w:rPr>
        <w:t xml:space="preserve"> продолжить осуществление закупки в соответствии с законодательством о контрактной системе;</w:t>
      </w:r>
    </w:p>
    <w:p>
      <w:pPr>
        <w:pStyle w:val="Style12"/>
        <w:numPr>
          <w:ilvl w:val="0"/>
          <w:numId w:val="1"/>
        </w:numPr>
        <w:widowControl w:val="0"/>
        <w:keepNext w:val="0"/>
        <w:keepLines w:val="0"/>
        <w:shd w:val="clear" w:color="auto" w:fill="auto"/>
        <w:bidi w:val="0"/>
        <w:jc w:val="both"/>
        <w:spacing w:before="0" w:after="0" w:line="302" w:lineRule="exact"/>
        <w:ind w:left="720" w:right="20" w:hanging="360"/>
      </w:pPr>
      <w:r>
        <w:rPr>
          <w:lang w:val="ru-RU" w:eastAsia="ru-RU" w:bidi="ru-RU"/>
          <w:w w:val="100"/>
          <w:color w:val="000000"/>
          <w:position w:val="0"/>
        </w:rPr>
        <w:t xml:space="preserve"> в срок до 12.07.2019 представить в Пензенское УФЛС России подтверждение исполнения настоящего предписания в письменном виде, а также по электронной почте по адрееу: </w:t>
      </w:r>
      <w:r>
        <w:rPr>
          <w:rStyle w:val="CharStyle14"/>
          <w:lang w:val="en-US" w:eastAsia="en-US" w:bidi="en-US"/>
        </w:rPr>
        <w:t>to58V/.tas.gov.ru</w:t>
      </w:r>
      <w:r>
        <w:rPr>
          <w:lang w:val="en-US" w:eastAsia="en-US" w:bidi="en-US"/>
          <w:w w:val="100"/>
          <w:color w:val="000000"/>
          <w:position w:val="0"/>
        </w:rPr>
        <w:t>:</w:t>
      </w:r>
    </w:p>
    <w:p>
      <w:pPr>
        <w:pStyle w:val="Style12"/>
        <w:numPr>
          <w:ilvl w:val="0"/>
          <w:numId w:val="25"/>
        </w:numPr>
        <w:widowControl w:val="0"/>
        <w:keepNext w:val="0"/>
        <w:keepLines w:val="0"/>
        <w:shd w:val="clear" w:color="auto" w:fill="auto"/>
        <w:bidi w:val="0"/>
        <w:jc w:val="both"/>
        <w:spacing w:before="0" w:after="0" w:line="302" w:lineRule="exact"/>
        <w:ind w:left="360" w:right="0" w:hanging="340"/>
      </w:pPr>
      <w:r>
        <w:rPr>
          <w:lang w:val="ru-RU" w:eastAsia="ru-RU" w:bidi="ru-RU"/>
          <w:w w:val="100"/>
          <w:color w:val="000000"/>
          <w:position w:val="0"/>
        </w:rPr>
        <w:t xml:space="preserve"> Оператору электронной площадки:</w:t>
      </w:r>
    </w:p>
    <w:p>
      <w:pPr>
        <w:pStyle w:val="Style12"/>
        <w:numPr>
          <w:ilvl w:val="0"/>
          <w:numId w:val="1"/>
        </w:numPr>
        <w:widowControl w:val="0"/>
        <w:keepNext w:val="0"/>
        <w:keepLines w:val="0"/>
        <w:shd w:val="clear" w:color="auto" w:fill="auto"/>
        <w:bidi w:val="0"/>
        <w:jc w:val="both"/>
        <w:spacing w:before="0" w:after="0" w:line="312" w:lineRule="exact"/>
        <w:ind w:left="720" w:right="20" w:hanging="360"/>
      </w:pPr>
      <w:r>
        <w:rPr>
          <w:lang w:val="ru-RU" w:eastAsia="ru-RU" w:bidi="ru-RU"/>
          <w:w w:val="100"/>
          <w:color w:val="000000"/>
          <w:position w:val="0"/>
        </w:rPr>
        <w:t xml:space="preserve"> в срок до 05.07.2019 обеспечить возможность исполнения указанных в пункте 1 настоящего предписания действий;</w:t>
      </w:r>
    </w:p>
    <w:p>
      <w:pPr>
        <w:pStyle w:val="Style12"/>
        <w:widowControl w:val="0"/>
        <w:keepNext w:val="0"/>
        <w:keepLines w:val="0"/>
        <w:shd w:val="clear" w:color="auto" w:fill="auto"/>
        <w:bidi w:val="0"/>
        <w:jc w:val="both"/>
        <w:spacing w:before="0" w:after="236" w:line="302" w:lineRule="exact"/>
        <w:ind w:left="720" w:right="20" w:firstLine="0"/>
      </w:pPr>
      <w:r>
        <w:rPr>
          <w:lang w:val="ru-RU" w:eastAsia="ru-RU" w:bidi="ru-RU"/>
          <w:w w:val="100"/>
          <w:color w:val="000000"/>
          <w:position w:val="0"/>
        </w:rPr>
        <w:t xml:space="preserve">в срок до 12.07.2019 представить в Пензенское УФАС России подтверждение исполнения настоящего предписания в письменном виде, а также по электронной почте по адресу: </w:t>
      </w:r>
      <w:r>
        <w:fldChar w:fldCharType="begin"/>
      </w:r>
      <w:r>
        <w:rPr>
          <w:rStyle w:val="CharStyle14"/>
        </w:rPr>
        <w:instrText> HYPERLINK "mailto:to58@fas.gov.ru" </w:instrText>
      </w:r>
      <w:r>
        <w:fldChar w:fldCharType="separate"/>
      </w:r>
      <w:r>
        <w:rPr>
          <w:rStyle w:val="Hyperlink"/>
          <w:lang w:val="en-US" w:eastAsia="en-US" w:bidi="en-US"/>
        </w:rPr>
        <w:t>to58@fas.gov.ru</w:t>
      </w:r>
      <w:r>
        <w:fldChar w:fldCharType="end"/>
      </w:r>
      <w:r>
        <w:rPr>
          <w:lang w:val="en-US" w:eastAsia="en-US" w:bidi="en-US"/>
          <w:w w:val="100"/>
          <w:color w:val="000000"/>
          <w:position w:val="0"/>
        </w:rPr>
        <w:t>.</w:t>
      </w:r>
    </w:p>
    <w:p>
      <w:pPr>
        <w:pStyle w:val="Style12"/>
        <w:widowControl w:val="0"/>
        <w:keepNext w:val="0"/>
        <w:keepLines w:val="0"/>
        <w:shd w:val="clear" w:color="auto" w:fill="auto"/>
        <w:bidi w:val="0"/>
        <w:jc w:val="both"/>
        <w:spacing w:before="0" w:after="244" w:line="307" w:lineRule="exact"/>
        <w:ind w:left="20" w:right="20" w:firstLine="700"/>
      </w:pPr>
      <w:r>
        <w:rPr>
          <w:lang w:val="ru-RU" w:eastAsia="ru-RU" w:bidi="ru-RU"/>
          <w:w w:val="100"/>
          <w:color w:val="000000"/>
          <w:position w:val="0"/>
        </w:rPr>
        <w:t>За невыполнение в установленный срок предписания Пензенского УФАС России предусмотрена административная ответственность в соответствии с Кодексом Российской Федерации об административных правонарушениях.</w:t>
      </w:r>
    </w:p>
    <w:p>
      <w:pPr>
        <w:pStyle w:val="Style12"/>
        <w:widowControl w:val="0"/>
        <w:keepNext w:val="0"/>
        <w:keepLines w:val="0"/>
        <w:shd w:val="clear" w:color="auto" w:fill="auto"/>
        <w:bidi w:val="0"/>
        <w:jc w:val="both"/>
        <w:spacing w:before="0" w:after="298" w:line="302" w:lineRule="exact"/>
        <w:ind w:left="20" w:right="20" w:firstLine="700"/>
      </w:pPr>
      <w:r>
        <w:rPr>
          <w:lang w:val="ru-RU" w:eastAsia="ru-RU" w:bidi="ru-RU"/>
          <w:w w:val="100"/>
          <w:color w:val="000000"/>
          <w:position w:val="0"/>
        </w:rPr>
        <w:t>Настоящее предписание может быть обжаловано в судебном порядке в течение трех месяцев со дня его вынесения.</w:t>
      </w:r>
    </w:p>
    <w:p>
      <w:pPr>
        <w:pStyle w:val="Style12"/>
        <w:widowControl w:val="0"/>
        <w:keepNext w:val="0"/>
        <w:keepLines w:val="0"/>
        <w:shd w:val="clear" w:color="auto" w:fill="auto"/>
        <w:bidi w:val="0"/>
        <w:jc w:val="both"/>
        <w:spacing w:before="0" w:after="298" w:line="230" w:lineRule="exact"/>
        <w:ind w:left="360" w:right="0" w:hanging="340"/>
      </w:pPr>
      <w:r>
        <w:rPr>
          <w:lang w:val="ru-RU" w:eastAsia="ru-RU" w:bidi="ru-RU"/>
          <w:w w:val="100"/>
          <w:color w:val="000000"/>
          <w:position w:val="0"/>
        </w:rPr>
        <w:t>Заместитель председателя Комиссии</w:t>
      </w:r>
    </w:p>
    <w:p>
      <w:pPr>
        <w:pStyle w:val="Style12"/>
        <w:widowControl w:val="0"/>
        <w:keepNext w:val="0"/>
        <w:keepLines w:val="0"/>
        <w:shd w:val="clear" w:color="auto" w:fill="auto"/>
        <w:bidi w:val="0"/>
        <w:jc w:val="both"/>
        <w:spacing w:before="0" w:after="0" w:line="230" w:lineRule="exact"/>
        <w:ind w:left="360" w:right="0" w:hanging="340"/>
      </w:pPr>
      <w:r>
        <w:rPr>
          <w:lang w:val="ru-RU" w:eastAsia="ru-RU" w:bidi="ru-RU"/>
          <w:w w:val="100"/>
          <w:color w:val="000000"/>
          <w:position w:val="0"/>
        </w:rPr>
        <w:t>Члены Комиссии</w:t>
      </w:r>
    </w:p>
    <w:sectPr>
      <w:type w:val="continuous"/>
      <w:pgSz w:w="16838" w:h="23810"/>
      <w:pgMar w:top="4740" w:left="3448" w:right="3438" w:bottom="449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10"/>
        <w:color w:val="000000"/>
        <w:position w:val="0"/>
      </w:rPr>
    </w:lvl>
  </w:abstractNum>
  <w:abstractNum w:abstractNumId="2">
    <w:multiLevelType w:val="multilevel"/>
    <w:lvl w:ilvl="0">
      <w:start w:val="2019"/>
      <w:numFmt w:val="decimal"/>
      <w:lvlText w:val="13.06.%1"/>
      <w:rPr>
        <w:lang w:val="ru-RU" w:eastAsia="ru-RU" w:bidi="ru-RU"/>
        <w:b w:val="0"/>
        <w:bCs w:val="0"/>
        <w:i w:val="0"/>
        <w:iCs w:val="0"/>
        <w:u w:val="none"/>
        <w:strike w:val="0"/>
        <w:smallCaps w:val="0"/>
        <w:sz w:val="23"/>
        <w:szCs w:val="23"/>
        <w:rFonts w:ascii="Times New Roman" w:eastAsia="Times New Roman" w:hAnsi="Times New Roman" w:cs="Times New Roman"/>
        <w:w w:val="100"/>
        <w:spacing w:val="10"/>
        <w:color w:val="000000"/>
        <w:position w:val="0"/>
      </w:rPr>
    </w:lvl>
  </w:abstractNum>
  <w:abstractNum w:abstractNumId="4">
    <w:multiLevelType w:val="multilevel"/>
    <w:lvl w:ilvl="0">
      <w:start w:val="2019"/>
      <w:numFmt w:val="decimal"/>
      <w:lvlText w:val="27.05.%1"/>
      <w:rPr>
        <w:lang w:val="ru-RU" w:eastAsia="ru-RU" w:bidi="ru-RU"/>
        <w:b w:val="0"/>
        <w:bCs w:val="0"/>
        <w:i w:val="0"/>
        <w:iCs w:val="0"/>
        <w:u w:val="none"/>
        <w:strike w:val="0"/>
        <w:smallCaps w:val="0"/>
        <w:sz w:val="23"/>
        <w:szCs w:val="23"/>
        <w:rFonts w:ascii="Times New Roman" w:eastAsia="Times New Roman" w:hAnsi="Times New Roman" w:cs="Times New Roman"/>
        <w:w w:val="100"/>
        <w:spacing w:val="1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1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1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1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1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1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10"/>
        <w:color w:val="000000"/>
        <w:position w:val="0"/>
      </w:rPr>
    </w:lvl>
  </w:abstractNum>
  <w:abstractNum w:abstractNumId="18">
    <w:multiLevelType w:val="multilevel"/>
    <w:lvl w:ilvl="0">
      <w:start w:val="2019"/>
      <w:numFmt w:val="decimal"/>
      <w:lvlText w:val="14.06.%1"/>
      <w:rPr>
        <w:lang w:val="ru-RU" w:eastAsia="ru-RU" w:bidi="ru-RU"/>
        <w:b w:val="0"/>
        <w:bCs w:val="0"/>
        <w:i w:val="0"/>
        <w:iCs w:val="0"/>
        <w:u w:val="none"/>
        <w:strike w:val="0"/>
        <w:smallCaps w:val="0"/>
        <w:sz w:val="23"/>
        <w:szCs w:val="23"/>
        <w:rFonts w:ascii="Times New Roman" w:eastAsia="Times New Roman" w:hAnsi="Times New Roman" w:cs="Times New Roman"/>
        <w:w w:val="100"/>
        <w:spacing w:val="10"/>
        <w:color w:val="000000"/>
        <w:position w:val="0"/>
      </w:rPr>
    </w:lvl>
  </w:abstractNum>
  <w:abstractNum w:abstractNumId="2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10"/>
        <w:color w:val="000000"/>
        <w:position w:val="0"/>
      </w:rPr>
    </w:lvl>
  </w:abstractNum>
  <w:abstractNum w:abstractNumId="2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10"/>
        <w:color w:val="000000"/>
        <w:position w:val="0"/>
      </w:rPr>
    </w:lvl>
  </w:abstractNum>
  <w:abstractNum w:abstractNumId="2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1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17"/>
      <w:szCs w:val="17"/>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21"/>
      <w:szCs w:val="21"/>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3">
    <w:name w:val="Основной текст_"/>
    <w:basedOn w:val="DefaultParagraphFont"/>
    <w:link w:val="Style12"/>
    <w:rPr>
      <w:b w:val="0"/>
      <w:bCs w:val="0"/>
      <w:i w:val="0"/>
      <w:iCs w:val="0"/>
      <w:u w:val="none"/>
      <w:strike w:val="0"/>
      <w:smallCaps w:val="0"/>
      <w:sz w:val="23"/>
      <w:szCs w:val="23"/>
      <w:rFonts w:ascii="Times New Roman" w:eastAsia="Times New Roman" w:hAnsi="Times New Roman" w:cs="Times New Roman"/>
      <w:spacing w:val="10"/>
    </w:rPr>
  </w:style>
  <w:style w:type="character" w:customStyle="1" w:styleId="CharStyle14">
    <w:name w:val="Основной текст"/>
    <w:basedOn w:val="CharStyle13"/>
    <w:rPr>
      <w:lang w:val="ru-RU" w:eastAsia="ru-RU" w:bidi="ru-RU"/>
      <w:u w:val="single"/>
      <w:w w:val="100"/>
      <w:color w:val="000000"/>
      <w:position w:val="0"/>
    </w:rPr>
  </w:style>
  <w:style w:type="character" w:customStyle="1" w:styleId="CharStyle16">
    <w:name w:val="Основной текст (5)_"/>
    <w:basedOn w:val="DefaultParagraphFont"/>
    <w:link w:val="Style15"/>
    <w:rPr>
      <w:b/>
      <w:bCs/>
      <w:i w:val="0"/>
      <w:iCs w:val="0"/>
      <w:u w:val="none"/>
      <w:strike w:val="0"/>
      <w:smallCaps w:val="0"/>
      <w:sz w:val="23"/>
      <w:szCs w:val="23"/>
      <w:rFonts w:ascii="Times New Roman" w:eastAsia="Times New Roman" w:hAnsi="Times New Roman" w:cs="Times New Roman"/>
      <w:spacing w:val="10"/>
    </w:rPr>
  </w:style>
  <w:style w:type="character" w:customStyle="1" w:styleId="CharStyle17">
    <w:name w:val="Основной текст"/>
    <w:basedOn w:val="CharStyle13"/>
    <w:rPr>
      <w:lang w:val="ru-RU" w:eastAsia="ru-RU" w:bidi="ru-RU"/>
      <w:w w:val="100"/>
      <w:color w:val="000000"/>
      <w:position w:val="0"/>
    </w:rPr>
  </w:style>
  <w:style w:type="character" w:customStyle="1" w:styleId="CharStyle18">
    <w:name w:val="Основной текст + 14 pt,Масштаб 80%"/>
    <w:basedOn w:val="CharStyle13"/>
    <w:rPr>
      <w:lang w:val="ru-RU" w:eastAsia="ru-RU" w:bidi="ru-RU"/>
      <w:sz w:val="28"/>
      <w:szCs w:val="28"/>
      <w:w w:val="80"/>
      <w:color w:val="000000"/>
      <w:position w:val="0"/>
    </w:rPr>
  </w:style>
  <w:style w:type="character" w:customStyle="1" w:styleId="CharStyle19">
    <w:name w:val="Основной текст + 8,5 pt,Интервал 0 pt"/>
    <w:basedOn w:val="CharStyle13"/>
    <w:rPr>
      <w:lang w:val="ru-RU" w:eastAsia="ru-RU" w:bidi="ru-RU"/>
      <w:u w:val="single"/>
      <w:sz w:val="17"/>
      <w:szCs w:val="17"/>
      <w:w w:val="100"/>
      <w:spacing w:val="0"/>
      <w:color w:val="000000"/>
      <w:position w:val="0"/>
    </w:rPr>
  </w:style>
  <w:style w:type="character" w:customStyle="1" w:styleId="CharStyle20">
    <w:name w:val="Основной текст + 8,5 pt,Интервал 0 pt"/>
    <w:basedOn w:val="CharStyle13"/>
    <w:rPr>
      <w:lang w:val="ru-RU" w:eastAsia="ru-RU" w:bidi="ru-RU"/>
      <w:sz w:val="17"/>
      <w:szCs w:val="17"/>
      <w:w w:val="100"/>
      <w:spacing w:val="0"/>
      <w:color w:val="000000"/>
      <w:position w:val="0"/>
    </w:rPr>
  </w:style>
  <w:style w:type="character" w:customStyle="1" w:styleId="CharStyle21">
    <w:name w:val="Основной текст + Курсив,Интервал 0 pt"/>
    <w:basedOn w:val="CharStyle13"/>
    <w:rPr>
      <w:lang w:val="ru-RU" w:eastAsia="ru-RU" w:bidi="ru-RU"/>
      <w:i/>
      <w:iCs/>
      <w:u w:val="single"/>
      <w:w w:val="100"/>
      <w:spacing w:val="0"/>
      <w:color w:val="000000"/>
      <w:position w:val="0"/>
    </w:rPr>
  </w:style>
  <w:style w:type="character" w:customStyle="1" w:styleId="CharStyle22">
    <w:name w:val="Основной текст + Courier New,9 pt,Интервал 0 pt"/>
    <w:basedOn w:val="CharStyle13"/>
    <w:rPr>
      <w:lang w:val="ru-RU" w:eastAsia="ru-RU" w:bidi="ru-RU"/>
      <w:sz w:val="18"/>
      <w:szCs w:val="18"/>
      <w:rFonts w:ascii="Courier New" w:eastAsia="Courier New" w:hAnsi="Courier New" w:cs="Courier New"/>
      <w:w w:val="100"/>
      <w:spacing w:val="0"/>
      <w:color w:val="000000"/>
      <w:position w:val="0"/>
    </w:rPr>
  </w:style>
  <w:style w:type="character" w:customStyle="1" w:styleId="CharStyle23">
    <w:name w:val="Основной текст + Courier New,8,5 pt,Полужирный,Интервал 0 pt"/>
    <w:basedOn w:val="CharStyle13"/>
    <w:rPr>
      <w:lang w:val="ru-RU" w:eastAsia="ru-RU" w:bidi="ru-RU"/>
      <w:b/>
      <w:bCs/>
      <w:sz w:val="17"/>
      <w:szCs w:val="17"/>
      <w:rFonts w:ascii="Courier New" w:eastAsia="Courier New" w:hAnsi="Courier New" w:cs="Courier New"/>
      <w:w w:val="100"/>
      <w:spacing w:val="0"/>
      <w:color w:val="000000"/>
      <w:position w:val="0"/>
    </w:rPr>
  </w:style>
  <w:style w:type="character" w:customStyle="1" w:styleId="CharStyle25">
    <w:name w:val="Основной текст (6)_"/>
    <w:basedOn w:val="DefaultParagraphFont"/>
    <w:link w:val="Style24"/>
    <w:rPr>
      <w:b w:val="0"/>
      <w:bCs w:val="0"/>
      <w:i/>
      <w:iCs/>
      <w:u w:val="none"/>
      <w:strike w:val="0"/>
      <w:smallCaps w:val="0"/>
      <w:sz w:val="23"/>
      <w:szCs w:val="23"/>
      <w:rFonts w:ascii="Times New Roman" w:eastAsia="Times New Roman" w:hAnsi="Times New Roman" w:cs="Times New Roman"/>
    </w:rPr>
  </w:style>
  <w:style w:type="character" w:customStyle="1" w:styleId="CharStyle26">
    <w:name w:val="Основной текст (6) + Не курсив,Интервал 0 pt"/>
    <w:basedOn w:val="CharStyle25"/>
    <w:rPr>
      <w:lang w:val="ru-RU" w:eastAsia="ru-RU" w:bidi="ru-RU"/>
      <w:i/>
      <w:iCs/>
      <w:w w:val="100"/>
      <w:spacing w:val="10"/>
      <w:color w:val="000000"/>
      <w:position w:val="0"/>
    </w:rPr>
  </w:style>
  <w:style w:type="character" w:customStyle="1" w:styleId="CharStyle27">
    <w:name w:val="Основной текст (6) + Не курсив,Интервал 0 pt"/>
    <w:basedOn w:val="CharStyle25"/>
    <w:rPr>
      <w:lang w:val="ru-RU" w:eastAsia="ru-RU" w:bidi="ru-RU"/>
      <w:i/>
      <w:iCs/>
      <w:u w:val="single"/>
      <w:w w:val="100"/>
      <w:spacing w:val="10"/>
      <w:color w:val="000000"/>
      <w:position w:val="0"/>
    </w:rPr>
  </w:style>
  <w:style w:type="character" w:customStyle="1" w:styleId="CharStyle28">
    <w:name w:val="Основной текст (6)"/>
    <w:basedOn w:val="CharStyle25"/>
    <w:rPr>
      <w:lang w:val="ru-RU" w:eastAsia="ru-RU" w:bidi="ru-RU"/>
      <w:w w:val="100"/>
      <w:spacing w:val="0"/>
      <w:color w:val="000000"/>
      <w:position w:val="0"/>
    </w:rPr>
  </w:style>
  <w:style w:type="character" w:customStyle="1" w:styleId="CharStyle29">
    <w:name w:val="Основной текст (6)"/>
    <w:basedOn w:val="CharStyle25"/>
    <w:rPr>
      <w:lang w:val="ru-RU" w:eastAsia="ru-RU" w:bidi="ru-RU"/>
      <w:u w:val="single"/>
      <w:w w:val="100"/>
      <w:spacing w:val="0"/>
      <w:color w:val="000000"/>
      <w:position w:val="0"/>
    </w:rPr>
  </w:style>
  <w:style w:type="character" w:customStyle="1" w:styleId="CharStyle30">
    <w:name w:val="Основной текст (6)"/>
    <w:basedOn w:val="CharStyle25"/>
    <w:rPr>
      <w:lang w:val="ru-RU" w:eastAsia="ru-RU" w:bidi="ru-RU"/>
      <w:u w:val="single"/>
      <w:w w:val="100"/>
      <w:spacing w:val="0"/>
      <w:color w:val="000000"/>
      <w:position w:val="0"/>
    </w:rPr>
  </w:style>
  <w:style w:type="character" w:customStyle="1" w:styleId="CharStyle31">
    <w:name w:val="Основной текст"/>
    <w:basedOn w:val="CharStyle13"/>
    <w:rPr>
      <w:lang w:val="ru-RU" w:eastAsia="ru-RU" w:bidi="ru-RU"/>
      <w:u w:val="single"/>
      <w:w w:val="100"/>
      <w:color w:val="000000"/>
      <w:position w:val="0"/>
    </w:rPr>
  </w:style>
  <w:style w:type="character" w:customStyle="1" w:styleId="CharStyle32">
    <w:name w:val="Основной текст + Интервал -1 pt"/>
    <w:basedOn w:val="CharStyle13"/>
    <w:rPr>
      <w:lang w:val="ru-RU" w:eastAsia="ru-RU" w:bidi="ru-RU"/>
      <w:w w:val="100"/>
      <w:spacing w:val="-20"/>
      <w:color w:val="000000"/>
      <w:position w:val="0"/>
    </w:rPr>
  </w:style>
  <w:style w:type="character" w:customStyle="1" w:styleId="CharStyle33">
    <w:name w:val="Основной текст + Полужирный,Интервал 0 pt"/>
    <w:basedOn w:val="CharStyle13"/>
    <w:rPr>
      <w:lang w:val="ru-RU" w:eastAsia="ru-RU" w:bidi="ru-RU"/>
      <w:b/>
      <w:bCs/>
      <w:w w:val="100"/>
      <w:spacing w:val="0"/>
      <w:color w:val="000000"/>
      <w:position w:val="0"/>
    </w:rPr>
  </w:style>
  <w:style w:type="character" w:customStyle="1" w:styleId="CharStyle34">
    <w:name w:val="Основной текст + Полужирный"/>
    <w:basedOn w:val="CharStyle13"/>
    <w:rPr>
      <w:lang w:val="ru-RU" w:eastAsia="ru-RU" w:bidi="ru-RU"/>
      <w:b/>
      <w:bCs/>
      <w:w w:val="100"/>
      <w:color w:val="000000"/>
      <w:position w:val="0"/>
    </w:rPr>
  </w:style>
  <w:style w:type="character" w:customStyle="1" w:styleId="CharStyle36">
    <w:name w:val="Основной текст (7)_"/>
    <w:basedOn w:val="DefaultParagraphFont"/>
    <w:link w:val="Style35"/>
    <w:rPr>
      <w:b w:val="0"/>
      <w:bCs w:val="0"/>
      <w:i w:val="0"/>
      <w:iCs w:val="0"/>
      <w:u w:val="none"/>
      <w:strike w:val="0"/>
      <w:smallCaps w:val="0"/>
      <w:sz w:val="23"/>
      <w:szCs w:val="23"/>
      <w:rFonts w:ascii="Times New Roman" w:eastAsia="Times New Roman" w:hAnsi="Times New Roman" w:cs="Times New Roman"/>
      <w:spacing w:val="10"/>
    </w:rPr>
  </w:style>
  <w:style w:type="character" w:customStyle="1" w:styleId="CharStyle38">
    <w:name w:val="Основной текст (8)_"/>
    <w:basedOn w:val="DefaultParagraphFont"/>
    <w:link w:val="Style37"/>
    <w:rPr>
      <w:b w:val="0"/>
      <w:bCs w:val="0"/>
      <w:i w:val="0"/>
      <w:iCs w:val="0"/>
      <w:u w:val="none"/>
      <w:strike w:val="0"/>
      <w:smallCaps w:val="0"/>
      <w:sz w:val="16"/>
      <w:szCs w:val="16"/>
      <w:rFonts w:ascii="Gulim" w:eastAsia="Gulim" w:hAnsi="Gulim" w:cs="Gulim"/>
    </w:rPr>
  </w:style>
  <w:style w:type="character" w:customStyle="1" w:styleId="CharStyle40">
    <w:name w:val="Заголовок №1_"/>
    <w:basedOn w:val="DefaultParagraphFont"/>
    <w:link w:val="Style39"/>
    <w:rPr>
      <w:b w:val="0"/>
      <w:bCs w:val="0"/>
      <w:i w:val="0"/>
      <w:iCs w:val="0"/>
      <w:u w:val="none"/>
      <w:strike w:val="0"/>
      <w:smallCaps w:val="0"/>
      <w:sz w:val="28"/>
      <w:szCs w:val="28"/>
      <w:rFonts w:ascii="Times New Roman" w:eastAsia="Times New Roman" w:hAnsi="Times New Roman" w:cs="Times New Roman"/>
    </w:rPr>
  </w:style>
  <w:style w:type="character" w:customStyle="1" w:styleId="CharStyle41">
    <w:name w:val="Заголовок №1"/>
    <w:basedOn w:val="CharStyle40"/>
    <w:rPr>
      <w:lang w:val="ru-RU" w:eastAsia="ru-RU" w:bidi="ru-RU"/>
      <w:w w:val="100"/>
      <w:spacing w:val="0"/>
      <w:color w:val="000000"/>
      <w:position w:val="0"/>
    </w:rPr>
  </w:style>
  <w:style w:type="character" w:customStyle="1" w:styleId="CharStyle42">
    <w:name w:val="Основной текст (5)"/>
    <w:basedOn w:val="CharStyle16"/>
    <w:rPr>
      <w:lang w:val="ru-RU" w:eastAsia="ru-RU" w:bidi="ru-RU"/>
      <w:w w:val="100"/>
      <w:color w:val="000000"/>
      <w:position w:val="0"/>
    </w:rPr>
  </w:style>
  <w:style w:type="character" w:customStyle="1" w:styleId="CharStyle43">
    <w:name w:val="Основной текст (3)"/>
    <w:basedOn w:val="CharStyle7"/>
    <w:rPr>
      <w:lang w:val="ru-RU" w:eastAsia="ru-RU" w:bidi="ru-RU"/>
      <w:w w:val="100"/>
      <w:spacing w:val="0"/>
      <w:color w:val="000000"/>
      <w:position w:val="0"/>
    </w:rPr>
  </w:style>
  <w:style w:type="character" w:customStyle="1" w:styleId="CharStyle44">
    <w:name w:val="Основной текст"/>
    <w:basedOn w:val="CharStyle13"/>
    <w:rPr>
      <w:lang w:val="ru-RU" w:eastAsia="ru-RU" w:bidi="ru-RU"/>
      <w:w w:val="100"/>
      <w:color w:val="000000"/>
      <w:position w:val="0"/>
    </w:rPr>
  </w:style>
  <w:style w:type="character" w:customStyle="1" w:styleId="CharStyle45">
    <w:name w:val="Основной текст"/>
    <w:basedOn w:val="CharStyle13"/>
    <w:rPr>
      <w:lang w:val="ru-RU" w:eastAsia="ru-RU" w:bidi="ru-RU"/>
      <w:w w:val="100"/>
      <w:color w:val="000000"/>
      <w:position w:val="0"/>
    </w:rPr>
  </w:style>
  <w:style w:type="character" w:customStyle="1" w:styleId="CharStyle47">
    <w:name w:val="Заголовок №2_"/>
    <w:basedOn w:val="DefaultParagraphFont"/>
    <w:link w:val="Style46"/>
    <w:rPr>
      <w:b w:val="0"/>
      <w:bCs w:val="0"/>
      <w:i w:val="0"/>
      <w:iCs w:val="0"/>
      <w:u w:val="none"/>
      <w:strike w:val="0"/>
      <w:smallCaps w:val="0"/>
      <w:sz w:val="28"/>
      <w:szCs w:val="28"/>
      <w:rFonts w:ascii="Times New Roman" w:eastAsia="Times New Roman" w:hAnsi="Times New Roman" w:cs="Times New Roman"/>
      <w:w w:val="80"/>
      <w:spacing w:val="10"/>
    </w:rPr>
  </w:style>
  <w:style w:type="paragraph" w:customStyle="1" w:styleId="Style3">
    <w:name w:val="Основной текст (2)"/>
    <w:basedOn w:val="Normal"/>
    <w:link w:val="CharStyle4"/>
    <w:pPr>
      <w:widowControl w:val="0"/>
      <w:shd w:val="clear" w:color="auto" w:fill="FFFFFF"/>
      <w:jc w:val="center"/>
      <w:spacing w:before="60" w:after="60" w:line="293" w:lineRule="exact"/>
    </w:pPr>
    <w:rPr>
      <w:b/>
      <w:bCs/>
      <w:i w:val="0"/>
      <w:iCs w:val="0"/>
      <w:u w:val="none"/>
      <w:strike w:val="0"/>
      <w:smallCaps w:val="0"/>
      <w:sz w:val="23"/>
      <w:szCs w:val="23"/>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80" w:after="540" w:line="192"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both"/>
      <w:spacing w:before="540"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12">
    <w:name w:val="Основной текст"/>
    <w:basedOn w:val="Normal"/>
    <w:link w:val="CharStyle13"/>
    <w:pPr>
      <w:widowControl w:val="0"/>
      <w:shd w:val="clear" w:color="auto" w:fill="FFFFFF"/>
      <w:spacing w:line="298" w:lineRule="exact"/>
      <w:ind w:hanging="380"/>
    </w:pPr>
    <w:rPr>
      <w:b w:val="0"/>
      <w:bCs w:val="0"/>
      <w:i w:val="0"/>
      <w:iCs w:val="0"/>
      <w:u w:val="none"/>
      <w:strike w:val="0"/>
      <w:smallCaps w:val="0"/>
      <w:sz w:val="23"/>
      <w:szCs w:val="23"/>
      <w:rFonts w:ascii="Times New Roman" w:eastAsia="Times New Roman" w:hAnsi="Times New Roman" w:cs="Times New Roman"/>
      <w:spacing w:val="10"/>
    </w:rPr>
  </w:style>
  <w:style w:type="paragraph" w:customStyle="1" w:styleId="Style15">
    <w:name w:val="Основной текст (5)"/>
    <w:basedOn w:val="Normal"/>
    <w:link w:val="CharStyle16"/>
    <w:pPr>
      <w:widowControl w:val="0"/>
      <w:shd w:val="clear" w:color="auto" w:fill="FFFFFF"/>
      <w:jc w:val="center"/>
      <w:spacing w:after="480" w:line="298" w:lineRule="exact"/>
    </w:pPr>
    <w:rPr>
      <w:b/>
      <w:bCs/>
      <w:i w:val="0"/>
      <w:iCs w:val="0"/>
      <w:u w:val="none"/>
      <w:strike w:val="0"/>
      <w:smallCaps w:val="0"/>
      <w:sz w:val="23"/>
      <w:szCs w:val="23"/>
      <w:rFonts w:ascii="Times New Roman" w:eastAsia="Times New Roman" w:hAnsi="Times New Roman" w:cs="Times New Roman"/>
      <w:spacing w:val="10"/>
    </w:rPr>
  </w:style>
  <w:style w:type="paragraph" w:customStyle="1" w:styleId="Style24">
    <w:name w:val="Основной текст (6)"/>
    <w:basedOn w:val="Normal"/>
    <w:link w:val="CharStyle25"/>
    <w:pPr>
      <w:widowControl w:val="0"/>
      <w:shd w:val="clear" w:color="auto" w:fill="FFFFFF"/>
      <w:jc w:val="both"/>
      <w:spacing w:line="298" w:lineRule="exact"/>
      <w:ind w:firstLine="700"/>
    </w:pPr>
    <w:rPr>
      <w:b w:val="0"/>
      <w:bCs w:val="0"/>
      <w:i/>
      <w:iCs/>
      <w:u w:val="none"/>
      <w:strike w:val="0"/>
      <w:smallCaps w:val="0"/>
      <w:sz w:val="23"/>
      <w:szCs w:val="23"/>
      <w:rFonts w:ascii="Times New Roman" w:eastAsia="Times New Roman" w:hAnsi="Times New Roman" w:cs="Times New Roman"/>
    </w:rPr>
  </w:style>
  <w:style w:type="paragraph" w:customStyle="1" w:styleId="Style35">
    <w:name w:val="Основной текст (7)"/>
    <w:basedOn w:val="Normal"/>
    <w:link w:val="CharStyle36"/>
    <w:pPr>
      <w:widowControl w:val="0"/>
      <w:shd w:val="clear" w:color="auto" w:fill="FFFFFF"/>
      <w:jc w:val="both"/>
      <w:spacing w:line="298" w:lineRule="exact"/>
      <w:ind w:firstLine="720"/>
    </w:pPr>
    <w:rPr>
      <w:b w:val="0"/>
      <w:bCs w:val="0"/>
      <w:i w:val="0"/>
      <w:iCs w:val="0"/>
      <w:u w:val="none"/>
      <w:strike w:val="0"/>
      <w:smallCaps w:val="0"/>
      <w:sz w:val="23"/>
      <w:szCs w:val="23"/>
      <w:rFonts w:ascii="Times New Roman" w:eastAsia="Times New Roman" w:hAnsi="Times New Roman" w:cs="Times New Roman"/>
      <w:spacing w:val="10"/>
    </w:rPr>
  </w:style>
  <w:style w:type="paragraph" w:customStyle="1" w:styleId="Style37">
    <w:name w:val="Основной текст (8)"/>
    <w:basedOn w:val="Normal"/>
    <w:link w:val="CharStyle38"/>
    <w:pPr>
      <w:widowControl w:val="0"/>
      <w:shd w:val="clear" w:color="auto" w:fill="FFFFFF"/>
      <w:jc w:val="center"/>
      <w:spacing w:after="240" w:line="0" w:lineRule="exact"/>
    </w:pPr>
    <w:rPr>
      <w:b w:val="0"/>
      <w:bCs w:val="0"/>
      <w:i w:val="0"/>
      <w:iCs w:val="0"/>
      <w:u w:val="none"/>
      <w:strike w:val="0"/>
      <w:smallCaps w:val="0"/>
      <w:sz w:val="16"/>
      <w:szCs w:val="16"/>
      <w:rFonts w:ascii="Gulim" w:eastAsia="Gulim" w:hAnsi="Gulim" w:cs="Gulim"/>
    </w:rPr>
  </w:style>
  <w:style w:type="paragraph" w:customStyle="1" w:styleId="Style39">
    <w:name w:val="Заголовок №1"/>
    <w:basedOn w:val="Normal"/>
    <w:link w:val="CharStyle40"/>
    <w:pPr>
      <w:widowControl w:val="0"/>
      <w:shd w:val="clear" w:color="auto" w:fill="FFFFFF"/>
      <w:jc w:val="both"/>
      <w:outlineLvl w:val="0"/>
      <w:spacing w:before="120" w:line="0" w:lineRule="exact"/>
    </w:pPr>
    <w:rPr>
      <w:b w:val="0"/>
      <w:bCs w:val="0"/>
      <w:i w:val="0"/>
      <w:iCs w:val="0"/>
      <w:u w:val="none"/>
      <w:strike w:val="0"/>
      <w:smallCaps w:val="0"/>
      <w:sz w:val="28"/>
      <w:szCs w:val="28"/>
      <w:rFonts w:ascii="Times New Roman" w:eastAsia="Times New Roman" w:hAnsi="Times New Roman" w:cs="Times New Roman"/>
    </w:rPr>
  </w:style>
  <w:style w:type="paragraph" w:customStyle="1" w:styleId="Style46">
    <w:name w:val="Заголовок №2"/>
    <w:basedOn w:val="Normal"/>
    <w:link w:val="CharStyle47"/>
    <w:pPr>
      <w:widowControl w:val="0"/>
      <w:shd w:val="clear" w:color="auto" w:fill="FFFFFF"/>
      <w:outlineLvl w:val="1"/>
      <w:spacing w:after="60" w:line="0" w:lineRule="exact"/>
    </w:pPr>
    <w:rPr>
      <w:b w:val="0"/>
      <w:bCs w:val="0"/>
      <w:i w:val="0"/>
      <w:iCs w:val="0"/>
      <w:u w:val="none"/>
      <w:strike w:val="0"/>
      <w:smallCaps w:val="0"/>
      <w:sz w:val="28"/>
      <w:szCs w:val="28"/>
      <w:rFonts w:ascii="Times New Roman" w:eastAsia="Times New Roman" w:hAnsi="Times New Roman" w:cs="Times New Roman"/>
      <w:w w:val="80"/>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