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80" w:wrap="around" w:vAnchor="text" w:hAnchor="margin" w:x="1843" w:y="372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5"/>
          <w:b/>
          <w:bCs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9" w:after="71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rStyle w:val="CharStyle11"/>
          <w:b/>
          <w:bCs/>
        </w:rPr>
        <w:t>УПРАВЛЕНИЕ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87" w:line="245" w:lineRule="exact"/>
        <w:ind w:left="0" w:right="0" w:firstLine="0"/>
      </w:pPr>
      <w:r>
        <w:rPr>
          <w:rStyle w:val="CharStyle8"/>
          <w:b/>
          <w:bCs/>
        </w:rPr>
        <w:t>Федеральной антимонопольной службы по Волгоградской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797"/>
        <w:ind w:left="0" w:right="0" w:firstLine="0"/>
      </w:pPr>
      <w:r>
        <w:rPr>
          <w:rStyle w:val="CharStyle14"/>
        </w:rPr>
        <w:t xml:space="preserve">ул. 7-я Гвардейская, д. 12, Волгоград, 400005 тел. (8442) 24-22-65, факс (8442) 24-22-76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to34@fas.gov.ru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rStyle w:val="CharStyle16"/>
          <w:b/>
          <w:bCs/>
        </w:rPr>
        <w:t>На №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10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«Экоград» ул. Абубакарова, д. 71, кор.А, г. Махачкала, 167000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ekogradOO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@mail .m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10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 Волгоградской области «В олгоградавтодор » ул. Маршала Г.К. Жукова, д.90, г. Волгоград, 400131 </w:t>
      </w:r>
      <w:r>
        <w:rPr>
          <w:rStyle w:val="CharStyle19"/>
        </w:rPr>
        <w:t>zakupki@vol goavtodor.ru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 системы в сфере закупок Волгоградской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7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045" w:left="3432" w:right="3566" w:bottom="4074" w:header="0" w:footer="3" w:gutter="0"/>
          <w:rtlGutter w:val="0"/>
          <w:cols w:num="2" w:space="720" w:equalWidth="0">
            <w:col w:w="4056" w:space="1210"/>
            <w:col w:w="457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Новороссийская, д. 15, г. Волгоград, 400066 </w:t>
      </w:r>
      <w:r>
        <w:fldChar w:fldCharType="begin"/>
      </w:r>
      <w:r>
        <w:rPr>
          <w:rStyle w:val="CharStyle19"/>
        </w:rPr>
        <w:instrText> HYPERLINK "mailto:goszakaz@volganet.ru" </w:instrText>
      </w:r>
      <w:r>
        <w:fldChar w:fldCharType="separate"/>
      </w:r>
      <w:r>
        <w:rPr>
          <w:rStyle w:val="Hyperlink"/>
        </w:rPr>
        <w:t>goszakaz@volganet.ru</w:t>
      </w:r>
      <w:r>
        <w:fldChar w:fldCharType="end"/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ЭТП «Национальная электронная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площадка»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Тестовская, д. 10,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Москва, 123112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480"/>
        <w:ind w:left="5380" w:right="0" w:firstLine="0"/>
      </w:pP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86"/>
        <w:ind w:left="0" w:right="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34/06/105-562/2019 о нарушении законодательства о контрактной системе</w:t>
      </w:r>
    </w:p>
    <w:p>
      <w:pPr>
        <w:pStyle w:val="Style17"/>
        <w:tabs>
          <w:tab w:leader="none" w:pos="8794" w:val="right"/>
          <w:tab w:leader="none" w:pos="100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 июня 2019 года</w:t>
        <w:tab/>
        <w:t>г.</w:t>
        <w:tab/>
        <w:t>Волгоград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Шалимовой Л.Ю. - члена Комиссии, ведущего специалиста-эксперта отдела контроля государственных и муниципальных закупок, недобросовестной конкуренции и рекламы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7"/>
        <w:tabs>
          <w:tab w:leader="none" w:pos="100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Нурисламова С.Ю. — представителя ГБУ Волгоградской</w:t>
        <w:tab/>
        <w:t>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«Волгоградавтодор» на основании доверенности от 19.06.2019 № 290-ЮО;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659" w:line="28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Погорелеца Д.В. - представителя ГБУ Волгоградской области «Волгоградавтодор» на основании доверенности от 13.05.2019 № 007-ЮО;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020366</w:t>
      </w:r>
      <w:bookmarkEnd w:id="1"/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Зуевой Е.Н. - представителя Комитета по регулированию контрактной системы в сфере закупок Волгоградской области, на основании доверенности № 6 от 09.01.2019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общества с ограниченной ответственностью «Экоград» на действия комиссии при проведении электронного аукциона «Поставка минеральноцо порошка не активированного МП-2» (номер извещения 0129200005319001907)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80" w:line="240" w:lineRule="exact"/>
        <w:ind w:left="0" w:right="2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18.06.2019 вх. эл. почта № 5745 поступила жалоба общества с ограниченной ответственностью «Экоград» (далее — Заявитель) на действия аукционной комиссии при проведении аукциона «Поставка минерального порошка не активированного МП-2» (номер извещения 0129200005319001907).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доводы, ознакомившись с представленными документами, и проведя внеплановую проверку в соответствии с частью 15 статьи 99 Федерального закона от 05.04.2013 года № 44-ФЗ «О контрактной системе в сфере закупок товаров и услуг, работ, услуг для обеспечения государственных и муниципальных нужд» (далее - Закона о контрактной системе) комиссия Управления пришла к следующим выводам.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28.05.2019 на официальном сайте Единой информационной системы (далее - ЕИС) было опубликовано извещение о проведении аукциона «Поставка минерального порошка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 активированного МП-2» (номер извещения 0129200005319001907). Начальная (максимальная) цена контракта 1 620 036,78 российских рублей.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Заявителя аукционная комиссия не правомерно признала заявку ООО «Экоград» не соответствующей требованиям документации электронного аукциона.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документов и пояснений сторон комиссия Управления установила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рассмотрения заявок (первых частей) на участие в электронном аукционе от 07.06.2019 № 08-158.1ЭА заявка ООО «Экоград» подлежала отклонению на основании п. 1 ч. 4 ст. 67 Закона о контрактной системе и пп.1 п. 5.1.4 Раздела 1 «Общие условия проведения электронного аукциона» документации об электронном аукционе, так как участником закупки не представлена информация, предусмотренная п. 2 ч. 3 ст. 66 Закона о контрактной системе и п. 25 Раздела 2 «Информационная карта электронного аукциона» документации об электронном аукционе: заявка не содержит конкретных показателей, соответствующих значениям, установленным в Таблице 1 Раздела 3 «Техническое задание» документации об электронном аукционе, а именно: в п. 1 «Минеральный порошок не активированный МП- 2» таблицы заявки участника закупки отсутствует значение «Фасовка - в бигбегах».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25 Раздела 2 «Информационная карта электронного аукциона» первая- часть заявки на участие в электронном аукционе должна содержать документы и информацию, в том числе конкретные показатели товара, соответствующие значениям, установленным в Таблицах № 1, № 2 Раздела 3 документации, и указание на товарищи знак (при наличии).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1, 2 Таблицы № 1 раздела 3 техническое задание заказчику требуется «Минеральный порошок не активированный МП-2 - Фасовка - в бигбегах».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документов установлено, что в составе первой части заявки ООО «Экоград» отсутствует значение «Фасовка - в бигбегах».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 4 ст. 67 Закона о контрактной системе участник электронного аукциона не допускается к участию в нем в случае непредоставления информации,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предусмотренной частью 3 статьи 66 настоящего Федерального закона, или предоставления недостоверной информации.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первая часть заявки ООО «Экоград» правомерно признана не соответствующей требованиям аукционной документации.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Управления решила признать жалобу общества с ограниченной ответственностью «Экоград» на действия аукционной комиссии при проведении аукциона «Поставка минерального порошка не активированного МП-2» (номер извещения 0129200005319001907) необоснованной.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проведения внеплановой проверки нарушений не выявлено.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80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300" w:firstLine="720"/>
        <w:sectPr>
          <w:type w:val="continuous"/>
          <w:pgSz w:w="16838" w:h="23810"/>
          <w:pgMar w:top="4558" w:left="3271" w:right="3194" w:bottom="433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общества с ограниченной ответственностью «Экоград» на действия аукционной комиссии при проведении аукциона «Поставка минерального порошка не активированного МП-2» (номер извещения 0129200005319001907) необоснованной.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framePr w:h="230" w:wrap="around" w:vAnchor="text" w:hAnchor="margin" w:x="8078" w:y="3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0"/>
        </w:rPr>
        <w:t>Р.А. Литвинов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02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6337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900" w:firstLine="0"/>
        <w:sectPr>
          <w:type w:val="continuous"/>
          <w:pgSz w:w="16838" w:h="23810"/>
          <w:pgMar w:top="4698" w:left="3218" w:right="10562" w:bottom="42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 А. (8842) 24-22-64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4786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!</w:t>
      </w:r>
    </w:p>
    <w:sectPr>
      <w:pgSz w:w="16838" w:h="23810"/>
      <w:pgMar w:top="3372" w:left="3067" w:right="3043" w:bottom="340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"/>
    </w:rPr>
  </w:style>
  <w:style w:type="character" w:customStyle="1" w:styleId="CharStyle5">
    <w:name w:val="Основной текст (4) Exact"/>
    <w:basedOn w:val="CharStyle15"/>
    <w:rPr>
      <w:sz w:val="18"/>
      <w:szCs w:val="18"/>
      <w:spacing w:val="-1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Заголовок №2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8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1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24">
    <w:name w:val="Основной текст (5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15"/>
    <w:pPr>
      <w:widowControl w:val="0"/>
      <w:shd w:val="clear" w:color="auto" w:fill="FFFFFF"/>
      <w:spacing w:before="78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60" w:after="6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center"/>
      <w:outlineLvl w:val="1"/>
      <w:spacing w:before="6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center"/>
      <w:spacing w:before="60" w:after="78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right"/>
      <w:outlineLvl w:val="0"/>
      <w:spacing w:before="72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10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spacing w:before="48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