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11"/>
        <w:ind w:left="0" w:right="2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34" w:line="280" w:lineRule="exact"/>
        <w:ind w:left="0" w:right="20" w:firstLine="0"/>
      </w:pPr>
      <w:bookmarkStart w:id="0" w:name="bookmark0"/>
      <w:r>
        <w:rPr>
          <w:rStyle w:val="CharStyle8"/>
        </w:rPr>
        <w:t>УПРАВЛЕНИЕ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0" w:line="254" w:lineRule="exact"/>
        <w:ind w:left="0" w:right="20" w:firstLine="0"/>
      </w:pPr>
      <w:r>
        <w:rPr>
          <w:rStyle w:val="CharStyle5"/>
          <w:b/>
          <w:bCs/>
        </w:rPr>
        <w:t>Федеральной антимонопольной службы по Камчатскому краю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32"/>
        <w:ind w:left="0" w:right="20" w:firstLine="0"/>
      </w:pPr>
      <w:r>
        <w:rPr>
          <w:rStyle w:val="CharStyle11"/>
        </w:rPr>
        <w:t>Ленинградская ул., д. 90, Петропавловск-Камчатский, 683003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88" w:line="240" w:lineRule="exact"/>
        <w:ind w:left="0" w:right="20" w:firstLine="0"/>
      </w:pPr>
      <w:r>
        <w:rPr>
          <w:rStyle w:val="CharStyle11"/>
        </w:rPr>
        <w:t xml:space="preserve">Тел./факс (4152) 42-58-74 Эл. почта: </w:t>
      </w:r>
      <w:r>
        <w:fldChar w:fldCharType="begin"/>
      </w:r>
      <w:r>
        <w:rPr>
          <w:rStyle w:val="CharStyle11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to41@fas.gov.ru</w:t>
      </w:r>
      <w:r>
        <w:fldChar w:fldCharType="end"/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43" w:line="280" w:lineRule="exact"/>
        <w:ind w:left="0" w:right="20" w:firstLine="0"/>
      </w:pPr>
      <w:bookmarkStart w:id="1" w:name="bookmark1"/>
      <w:r>
        <w:rPr>
          <w:rStyle w:val="CharStyle14"/>
          <w:i/>
          <w:iCs/>
        </w:rPr>
        <w:t>JSM.MllS</w:t>
      </w:r>
      <w:r>
        <w:rPr>
          <w:rStyle w:val="CharStyle15"/>
          <w:i w:val="0"/>
          <w:iCs w:val="0"/>
        </w:rPr>
        <w:t xml:space="preserve"> </w:t>
      </w:r>
      <w:r>
        <w:rPr>
          <w:rStyle w:val="CharStyle16"/>
          <w:i w:val="0"/>
          <w:iCs w:val="0"/>
        </w:rPr>
        <w:t xml:space="preserve">№ </w:t>
      </w:r>
      <w:r>
        <w:rPr>
          <w:rStyle w:val="CharStyle14"/>
          <w:i/>
          <w:iCs/>
        </w:rPr>
        <w:t>J0W/O6</w:t>
      </w:r>
      <w:bookmarkEnd w:id="1"/>
    </w:p>
    <w:p>
      <w:pPr>
        <w:pStyle w:val="Style9"/>
        <w:tabs>
          <w:tab w:leader="underscore" w:pos="2326" w:val="right"/>
          <w:tab w:leader="hyphen" w:pos="38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200" w:right="0" w:firstLine="0"/>
      </w:pPr>
      <w:r>
        <w:rPr>
          <w:rStyle w:val="CharStyle11"/>
        </w:rPr>
        <w:t>На №</w:t>
        <w:tab/>
        <w:t>от</w:t>
        <w:tab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9"/>
        </w:rPr>
        <w:t>Заказчик: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13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«Камчатский краевой онкологический диспансер» ул. Лукашевского, д. 15 г. Петропавловск-Камчатский 683024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rStyle w:val="CharStyle19"/>
        </w:rPr>
        <w:t>Заявитель: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«Атомсервис»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Большая Тульская, д. 10, офис 122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763" w:left="1021" w:right="1669" w:bottom="837" w:header="0" w:footer="3" w:gutter="0"/>
          <w:rtlGutter w:val="0"/>
          <w:cols w:num="2" w:space="749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Москва 115191</w:t>
      </w:r>
    </w:p>
    <w:p>
      <w:pPr>
        <w:widowControl w:val="0"/>
        <w:spacing w:before="107" w:after="10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1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31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041/06/33-107/2019</w:t>
      </w:r>
    </w:p>
    <w:p>
      <w:pPr>
        <w:pStyle w:val="Style17"/>
        <w:tabs>
          <w:tab w:leader="none" w:pos="5861" w:val="center"/>
          <w:tab w:leader="none" w:pos="91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70" w:line="240" w:lineRule="exact"/>
        <w:ind w:left="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20 июня 2019 г.</w:t>
        <w:tab/>
        <w:t>г.</w:t>
        <w:tab/>
        <w:t>Петропавловск-Камчатский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(далее - Комиссия) в составе: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Ведущей заседание Комиссии - заместителя руководителя управления Кодерле И.В.,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главного специалиста-эксперта отдела антимонопольного контроля и закупок Самбраш Л.В.,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ведущего специалиста-эксперта отдела антимонопольного контроля и закупок Громова С.А.,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заказчика - государственного бюджетного учреждения здравоохранения «Камчатский краевой онкологический диспансер» (далее - ГБУЗ «Камчатский краевой онкологический диспансер»; Заказчик) Карпова Е.С. (по доверенности от 19.02.2019 № 19.2.19-1),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отсутствие заявителя - общества с ограниченной ответственностью «Атомстрой» (далее - Заявитель), извещенного о месте и времени рассмотрения жалобы по адресу электронной почты,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82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Заявителя на действия Заказчика при определении подрядчика путем проведения электронного аукциона (далее - ЭА) на право заключения контракта «Выполнение работ по ремонту установки дистанционной гамматерапии 60 Со (РОКУС-АМ с ШУ №85), демонтажу узлов аппарата РОКУС-АМ №22, содержащих радиационные вещества, вывозу и утилизации радиационных источников (с аппаратов РОКУС-АМ № 85 и РОКУС-АМ №22) и радиоактивных частей аппарата РОКУС-АМ №22» (закупка № 0338200002219000140), и в результате осуществления внепланово^ц^у^^рки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22"/>
        <w:widowControl w:val="0"/>
        <w:keepNext/>
        <w:keepLines/>
        <w:shd w:val="clear" w:color="auto" w:fill="auto"/>
        <w:bidi w:val="0"/>
        <w:spacing w:before="0" w:after="252" w:line="240" w:lineRule="exact"/>
        <w:ind w:left="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2"/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проводилась процедура определения подрядчика на право заключения контракта «Выполнение работ по ремонту установки дистанционной гамматерапии 60 Со (РОКУС-АМ с ШУ №85), демонтажу узлов аппарата РОКУС-АМ №22, содержащих радиационные вещества, вывозу и утилизации радиационных источников (с аппаратов РОКУС-АМ № 85 и РОКУС-АМ №22) и радиоактивных частей аппарата РОКУС-АМ №22» (закупка № 0338200002219000140) (далее - Закупка). 21.05.2019 в единой информационной системе размещено извещение о проведении Закупки. 03.06.2019 размещено изменение к извещению. Начальная (максимальная) цена контракта установлена в размере 217 533 333,34 руб.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13.06.2019 в Камчатское УФАС России поступила жалоба Заявителя на действия Заказчика при разработке документации об ЭА, в которой приведены следующие доводы: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соответствии с пунктом 4.3 документации об ЭА вторая часть заявки на участие в ЭА должна содержать свидетельство или удостоверения специалистов Подрядчика об обучении на предприятиях-производителях соответствующих видов медицинской техники или в организациях и учреждениях, имеющих право осуществлять соответствующие виды образовательной деятельности (обучение, профессиональную подготовку, повышение квалификации по техническому обслуживанию соответствующих видов медицинской техники, а именно: гамма-терапевтических аппаратов. Заявитель считает, что указание на все гамма-терапевтические аппараты - неверно, так как требуется ремонтировать аппараты определенного типа;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соответствии с ГОСТ Р 57501-2017 в случае ремонта медицинского изделия в приложении к Техническому заданию должны содержаться перечень запасных частей и расходных материалов, включающий, в том числе, характеристики расходных материалов, однако в разделе IV «Показатели товара, используемого при выполнении работ п. 2.2 «Описание объекта закупки», перечень материалов в указанном разделе отсутствует.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письмом от 19.06.2019 № 928 представил возражения, в которых пояснил, что требования к квалификации специалистов установлены в соответствии с пунктом 4.1.4. Методических рекомендаций «Техническое обслуживание медицинской техники», утвержденных Минздравом России от</w:t>
      </w:r>
    </w:p>
    <w:p>
      <w:pPr>
        <w:pStyle w:val="Style17"/>
        <w:numPr>
          <w:ilvl w:val="0"/>
          <w:numId w:val="3"/>
        </w:numPr>
        <w:tabs>
          <w:tab w:leader="none" w:pos="14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 Минпромнауки России от 10.10.2003, введенным в действие Письмом Минздрава РФ от 27.10.2003 № 293-22/233.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заседании Комиссии представитель Заказчика пояснил, что в документации об ЭА установлен перечень расходных материалов, однако их характеристики можно определить только в процессе исполнения Контракта.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48" w:line="307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выявила следующие обстоятельства.</w:t>
      </w:r>
    </w:p>
    <w:p>
      <w:pPr>
        <w:pStyle w:val="Style17"/>
        <w:numPr>
          <w:ilvl w:val="0"/>
          <w:numId w:val="5"/>
        </w:numPr>
        <w:tabs>
          <w:tab w:leader="none" w:pos="119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пунктом 4 части 1 статьи 32 Закона о контрактной системе для оценки заявок участников закупки </w:t>
      </w:r>
      <w:r>
        <w:rPr>
          <w:rStyle w:val="CharStyle24"/>
        </w:rPr>
        <w:t>заказчик в документации о закупке устанавливает критерий квалификация участников закупки, в том числе наличие у них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</w:t>
      </w:r>
      <w:r>
        <w:rPr>
          <w:rStyle w:val="CharStyle24"/>
        </w:rPr>
        <w:t>специалистов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 иных работников </w:t>
      </w:r>
      <w:r>
        <w:rPr>
          <w:rStyle w:val="CharStyle24"/>
        </w:rPr>
        <w:t>определенного уровня квалификации.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4.1.4 Методических рекомендаций «Техническое обслуживание медицинской техники», утвержденными 24.09.2003 первым заместителем министра здравоохранения Российской Федерации А.И. Вялковым, 10.10.2013 первым заместителем министра промышленности, науки и технологий Российской Федерации М.П. Кирпичниковым, опубликованных в журнале «Здравоохранение» № 5 в 2004 году (введены в действие с 01.01.2014 письмом Минздрава России от 27.10.2003 № 293-22/233) «специалисты по техническому обслуживанию медицинской техники должны пройти обучение на предприятиях - производителях соответствующих видов (наименований) медицинской техники или в организациях и учреждениях, имеющих право осуществлять соответствующие виды образовательной деятельности (обучение, профессиональную подготовку, повышение квалификации по техническому обслуживанию соответствующих видов медицинской техники), с получением документа установленного образца».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Указанное требование к квалификации специалистов по рассматриваемой Закупке аутентично воспроизведено в пункте 4.3 о том, что должна содержать вторая часть заявки, подпункт 4: «Документы, подтверждающие соответствие участника закупки требованиям, установленным пунктом 11.1 части 11 настоящей документации»: </w:t>
      </w:r>
      <w:r>
        <w:rPr>
          <w:rStyle w:val="CharStyle25"/>
        </w:rPr>
        <w:t xml:space="preserve">свидетельство или удостоверения специалистов Подрядчика об обучении на предприятиях-производителях соответствующих видов медицинской техники или в организациях и учреждениях, имеющих право осуществлять соответствующие виды образовательной деятельности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(обучение, профессиональную подготовку, повышение квалификации по техническому обслуживанию соответствующих видов медицинской техники, а именно: гамма-терапевтических аппаратов. </w:t>
      </w:r>
      <w:r>
        <w:rPr>
          <w:rStyle w:val="CharStyle24"/>
        </w:rPr>
        <w:t>В соответствии с пунктом 4.1.4. Методических рекомендаций «Техническое обслуживание медицинской техники», утвержденных Минздравом России от</w:t>
      </w:r>
    </w:p>
    <w:p>
      <w:pPr>
        <w:pStyle w:val="Style26"/>
        <w:numPr>
          <w:ilvl w:val="0"/>
          <w:numId w:val="7"/>
        </w:numPr>
        <w:tabs>
          <w:tab w:leader="none" w:pos="145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Минпромнауки России от 10.10.2003., введенным в действие Письмом Минздрава РФ от 27.10.2003.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293-22/233</w:t>
      </w:r>
      <w:r>
        <w:rPr>
          <w:rStyle w:val="CharStyle28"/>
          <w:i w:val="0"/>
          <w:iCs w:val="0"/>
        </w:rPr>
        <w:t xml:space="preserve"> (абзац шестой).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требование к квалификации специалистов, установленное в документации об ЭА, не противоречит Закону о контрактной системе и соответствсует нормативному правовому акту, устанавливающему требование к квалификации специалистов по техническому обслуживанию медицинского оборудования, относящегося к предмету Закупки.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довод заявителя является необоснованным.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32" w:line="283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2. Согласно пункту 2 части 1 статьи 33 Закона о контрактной системе Заказчик при описании в документации о закупке объекта закупки должен руководствоваться следующим правилом (в том числе):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</w:t>
      </w:r>
      <w:r>
        <w:rPr>
          <w:rStyle w:val="CharStyle24"/>
        </w:rPr>
        <w:t>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настоящее время для установления основных требований, которые должны содержаться в технических заданиях для государственных закупок в части технического обслуживания медицинских изделий используется ГОСТ Р 57501-2017 «Национальный стандарт Российской Федерации. Техническое обслуживание медицинских изделию Требования для государственных закупок» (утвержден и введен в действие Приказом Федерального агентства по техническому регулированию и метрологии от 08.06.201 № 513-ст; дата введения 01.06.2018; далее - ГОСТ Р 57501-2017).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 5 ГОСТа Р 57501-2017 содержит Требования к содержанию технического задания.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 5.6 ГОСТа Р 57501-2017 содержит Требования к организации и порядку проведения технического обслуживания медицинских изделий.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 5.6.2 ГОСТа Р 57501-2017 приводит требования к выбранным работам по техническому обслуживанию.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пункте 5.6.2.3 ГОСТа 57501-2017 установлено следующее: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«В подразделе, содержащем требования к ремонту медицинского изделия, приводят: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сведения о сроках проведения работ в рамках ремонта МИ. Сроки могут быть указаны как с учетом сроков поставки запасных частей, так и без него, о чем в ТЗ должна быть сделана отдельная отметка;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указания о наличии или отсутствии требований по поставке запасных частей для проведения ремонта.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подразделе могут быть приведены ограничения по количеству случаев отказа медицинских изделий, по которым за выбранный календарный период (месяц, год, срок действия договора и т.п.) проводится ремонт.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наличии требований по поставки запасных частей для проведения ремонта в пункте приводят требования: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 идентификации запасной части (наименование, каталожный или иной идентификатор, согласно технической и эксплуатационной документации изготовителя (производителя));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качеству поставляемых запасных частей;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срокам поставки и/или установки запасных частей;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гарантийным срокам изготовителя (производителя) и/или поставщика запасных частей.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860"/>
      </w:pPr>
      <w:r>
        <w:rPr>
          <w:rStyle w:val="CharStyle28"/>
          <w:i w:val="0"/>
          <w:iCs w:val="0"/>
        </w:rPr>
        <w:t xml:space="preserve">В том случае, если при заключении договора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невозможно определить точный объем</w:t>
      </w:r>
      <w:r>
        <w:rPr>
          <w:rStyle w:val="CharStyle28"/>
          <w:i w:val="0"/>
          <w:iCs w:val="0"/>
        </w:rPr>
        <w:t xml:space="preserve"> закупки запасных частей 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расходных материалов,</w:t>
      </w:r>
      <w:r>
        <w:rPr>
          <w:rStyle w:val="CharStyle28"/>
          <w:i w:val="0"/>
          <w:iCs w:val="0"/>
        </w:rPr>
        <w:t xml:space="preserve"> а также объем ремонтных работ,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может быть предусмотрена возможность закупки за единицу продукции согласно Закону о контрактной системе. В этом случае в Техническом задании должны содержаться указания по порядку</w:t>
      </w:r>
      <w:r>
        <w:rPr>
          <w:rStyle w:val="CharStyle28"/>
          <w:i w:val="0"/>
          <w:iCs w:val="0"/>
        </w:rPr>
        <w:t xml:space="preserve"> организации и проведения ремонтных работ 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закупки</w:t>
      </w:r>
      <w:r>
        <w:rPr>
          <w:rStyle w:val="CharStyle28"/>
          <w:i w:val="0"/>
          <w:iCs w:val="0"/>
        </w:rPr>
        <w:t xml:space="preserve"> запасных частей 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расходных материалов,</w:t>
      </w:r>
      <w:r>
        <w:rPr>
          <w:rStyle w:val="CharStyle28"/>
          <w:i w:val="0"/>
          <w:iCs w:val="0"/>
        </w:rPr>
        <w:t xml:space="preserve"> а в приложениях к Техническому заданию должны быть приведены: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перечень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запасных частей и </w:t>
      </w:r>
      <w:r>
        <w:rPr>
          <w:rStyle w:val="CharStyle24"/>
        </w:rPr>
        <w:t>расходных материалов,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замена которых может проводиться в рамках ремонтных работ, включающий характеристики запасных частей и расходных материалов и указание на медицинском изделии, для ремонта которых они применяются;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перечень выполняемых работ, включающий описание ремонтных работ и указание на медицинском изделии, для ремонта которых данные работы проводятся.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наличии в перечне медицинских изделий, подлежащих техническому обслуживанию, изделий, отнесенных к средствам измерений, в пункте должны быть приведены сведения: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 необходимости проведения поверки после ремонта, согласно ГОСТ Р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56606;</w:t>
      </w:r>
    </w:p>
    <w:p>
      <w:pPr>
        <w:pStyle w:val="Style1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4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сроках проведения поверки».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 в Техническом задании не определил точный объем закупки расходных материалов, либо не представил указания по порядку закупки расходных материалов, то есть не указал объем закупки расходных материалов в соответствии с ГОСТом </w:t>
      </w:r>
      <w:r>
        <w:rPr>
          <w:rStyle w:val="CharStyle25"/>
        </w:rPr>
        <w:t xml:space="preserve">Р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57501-2017, </w:t>
      </w:r>
      <w:r>
        <w:rPr>
          <w:rStyle w:val="CharStyle25"/>
        </w:rPr>
        <w:t xml:space="preserve">в нарушение пункта 2 части 1 статьи 33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Закона о контрактной системе.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довод Заявителя является обоснованным.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29" w:line="27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считает, что указанное нарушение не повлияло на определение подрядчика, поэтому основание для выдачи предписания отсутствует.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82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и руководствуясь частью 8 статьи 106 Закона о контрактной системе и Административным регламентом, утвержденным приказом ФАС России от 19.11.2014 № 727/14, Комиссия</w:t>
      </w:r>
    </w:p>
    <w:p>
      <w:pPr>
        <w:pStyle w:val="Style22"/>
        <w:widowControl w:val="0"/>
        <w:keepNext/>
        <w:keepLines/>
        <w:shd w:val="clear" w:color="auto" w:fill="auto"/>
        <w:bidi w:val="0"/>
        <w:spacing w:before="0" w:after="266" w:line="240" w:lineRule="exact"/>
        <w:ind w:left="0" w:right="0" w:firstLine="0"/>
      </w:pPr>
      <w:bookmarkStart w:id="3" w:name="bookmark3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  <w:bookmarkEnd w:id="3"/>
    </w:p>
    <w:p>
      <w:pPr>
        <w:pStyle w:val="Style17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обоснованной в части неустановления в документации об электронном аукционе точного объема закупки расходных материалов либо указания по порядку закупки расходных материалов в соответствии с ГОСТ Р 57501-2017.</w:t>
      </w:r>
    </w:p>
    <w:p>
      <w:pPr>
        <w:pStyle w:val="Style17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 Заказчика нарушение пункта 2 части 1 статьи 33 Закона о контрактной системе.</w:t>
      </w:r>
      <w:r>
        <w:br w:type="page"/>
      </w:r>
    </w:p>
    <w:p>
      <w:pPr>
        <w:pStyle w:val="Style17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Предписание об устранении выявленного нарушения законодательства о контрактной системе не выдавать в связи с тем, что указанное нарушение на определение подрядчика не повлияло.</w:t>
      </w:r>
    </w:p>
    <w:p>
      <w:pPr>
        <w:pStyle w:val="Style17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4" w:line="302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о выявленном нарушении должностному лицу, уполномоченному рассматривать дела об административных правонарушениях, для рассмотрения вопроса о возбуждении административного производства в отношении должностного лица Заказчика.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900"/>
        <w:sectPr>
          <w:type w:val="continuous"/>
          <w:pgSz w:w="11906" w:h="16838"/>
          <w:pgMar w:top="840" w:left="1122" w:right="1122" w:bottom="1430" w:header="0" w:footer="3" w:gutter="403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0" w:after="11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framePr w:w="1672" w:h="1134" w:wrap="around" w:vAnchor="text" w:hAnchor="margin" w:x="7166" w:y="9"/>
        <w:widowControl w:val="0"/>
        <w:keepNext w:val="0"/>
        <w:keepLines w:val="0"/>
        <w:shd w:val="clear" w:color="auto" w:fill="auto"/>
        <w:bidi w:val="0"/>
        <w:jc w:val="left"/>
        <w:spacing w:before="0" w:after="617" w:line="230" w:lineRule="exact"/>
        <w:ind w:left="120" w:right="0" w:firstLine="0"/>
      </w:pPr>
      <w:r>
        <w:rPr>
          <w:rStyle w:val="CharStyle29"/>
          <w:spacing w:val="0"/>
        </w:rPr>
        <w:t>И.В. Кодерле</w:t>
      </w:r>
    </w:p>
    <w:p>
      <w:pPr>
        <w:pStyle w:val="Style17"/>
        <w:framePr w:w="1672" w:h="1134" w:wrap="around" w:vAnchor="text" w:hAnchor="margin" w:x="7166" w:y="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20" w:right="0" w:firstLine="0"/>
      </w:pPr>
      <w:r>
        <w:rPr>
          <w:rStyle w:val="CharStyle29"/>
          <w:lang w:val="en-US" w:eastAsia="en-US" w:bidi="en-US"/>
          <w:spacing w:val="0"/>
        </w:rPr>
        <w:t xml:space="preserve">JI.B. </w:t>
      </w:r>
      <w:r>
        <w:rPr>
          <w:rStyle w:val="CharStyle29"/>
          <w:spacing w:val="0"/>
        </w:rPr>
        <w:t>Самбраш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60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Ведущая заседание Комиссии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462" w:left="1347" w:right="6857" w:bottom="963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С.А. Громов</w:t>
      </w:r>
    </w:p>
    <w:sectPr>
      <w:type w:val="continuous"/>
      <w:pgSz w:w="11906" w:h="16838"/>
      <w:pgMar w:top="462" w:left="8609" w:right="1567" w:bottom="963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03"/>
      <w:numFmt w:val="decimal"/>
      <w:lvlText w:val="24.09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03"/>
      <w:numFmt w:val="decimal"/>
      <w:lvlText w:val="24.09.%1."/>
      <w:rPr>
        <w:lang w:val="ru-RU" w:eastAsia="ru-RU" w:bidi="ru-RU"/>
        <w:b w:val="0"/>
        <w:bCs w:val="0"/>
        <w:i/>
        <w:iCs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Заголовок №2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8">
    <w:name w:val="Заголовок №2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1_"/>
    <w:basedOn w:val="DefaultParagraphFont"/>
    <w:link w:val="Style12"/>
    <w:rPr>
      <w:lang w:val="en-US" w:eastAsia="en-US" w:bidi="en-US"/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20"/>
    </w:rPr>
  </w:style>
  <w:style w:type="character" w:customStyle="1" w:styleId="CharStyle14">
    <w:name w:val="Заголовок №1"/>
    <w:basedOn w:val="CharStyle13"/>
    <w:rPr>
      <w:u w:val="single"/>
      <w:w w:val="100"/>
      <w:color w:val="000000"/>
      <w:position w:val="0"/>
    </w:rPr>
  </w:style>
  <w:style w:type="character" w:customStyle="1" w:styleId="CharStyle15">
    <w:name w:val="Заголовок №1 + 10,5 pt,Не курсив,Интервал 0 pt"/>
    <w:basedOn w:val="CharStyle13"/>
    <w:rPr>
      <w:i/>
      <w:iCs/>
      <w:sz w:val="21"/>
      <w:szCs w:val="21"/>
      <w:w w:val="100"/>
      <w:spacing w:val="0"/>
      <w:color w:val="000000"/>
      <w:position w:val="0"/>
    </w:rPr>
  </w:style>
  <w:style w:type="character" w:customStyle="1" w:styleId="CharStyle16">
    <w:name w:val="Заголовок №1 + 10,5 pt,Не курсив,Интервал 0 pt"/>
    <w:basedOn w:val="CharStyle13"/>
    <w:rPr>
      <w:lang w:val="ru-RU" w:eastAsia="ru-RU" w:bidi="ru-RU"/>
      <w:i/>
      <w:iCs/>
      <w:sz w:val="21"/>
      <w:szCs w:val="21"/>
      <w:w w:val="100"/>
      <w:spacing w:val="0"/>
      <w:color w:val="000000"/>
      <w:position w:val="0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"/>
    <w:basedOn w:val="CharStyle18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(4)_"/>
    <w:basedOn w:val="DefaultParagraphFont"/>
    <w:link w:val="Style2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Заголовок №3_"/>
    <w:basedOn w:val="DefaultParagraphFont"/>
    <w:link w:val="Style2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Основной текст + Курсив"/>
    <w:basedOn w:val="CharStyle18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5">
    <w:name w:val="Основной текст + Полужирный"/>
    <w:basedOn w:val="CharStyle18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7">
    <w:name w:val="Основной текст (5)_"/>
    <w:basedOn w:val="DefaultParagraphFont"/>
    <w:link w:val="Style26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8">
    <w:name w:val="Основной текст (5) + Не курсив"/>
    <w:basedOn w:val="CharStyle27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420" w:line="269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Заголовок №2"/>
    <w:basedOn w:val="Normal"/>
    <w:link w:val="CharStyle7"/>
    <w:pPr>
      <w:widowControl w:val="0"/>
      <w:shd w:val="clear" w:color="auto" w:fill="FFFFFF"/>
      <w:jc w:val="center"/>
      <w:outlineLvl w:val="1"/>
      <w:spacing w:before="420" w:after="12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20" w:after="120" w:line="25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jc w:val="center"/>
      <w:outlineLvl w:val="0"/>
      <w:spacing w:before="120" w:after="12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20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spacing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2">
    <w:name w:val="Заголовок №3"/>
    <w:basedOn w:val="Normal"/>
    <w:link w:val="CharStyle23"/>
    <w:pPr>
      <w:widowControl w:val="0"/>
      <w:shd w:val="clear" w:color="auto" w:fill="FFFFFF"/>
      <w:jc w:val="center"/>
      <w:outlineLvl w:val="2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FFFFFF"/>
      <w:jc w:val="both"/>
      <w:spacing w:line="298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