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423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/>
        <w:keepLines/>
        <w:shd w:val="clear" w:color="auto" w:fill="auto"/>
        <w:bidi w:val="0"/>
        <w:spacing w:before="0" w:after="0" w:line="260" w:lineRule="exact"/>
        <w:ind w:left="0" w:right="0" w:firstLine="0"/>
      </w:pPr>
      <w:bookmarkStart w:id="0" w:name="bookmark0"/>
      <w:r>
        <w:rPr>
          <w:rStyle w:val="CharStyle8"/>
        </w:rPr>
        <w:t>УПРАВЛЕНИЕ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6" w:line="250" w:lineRule="exact"/>
        <w:ind w:left="0" w:right="0" w:firstLine="0"/>
      </w:pPr>
      <w:r>
        <w:rPr>
          <w:rStyle w:val="CharStyle5"/>
          <w:b/>
          <w:bCs/>
        </w:rPr>
        <w:t>Федеральной антимонопольной службы по Камчатскому краю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72"/>
        <w:ind w:left="0" w:right="0" w:firstLine="0"/>
      </w:pPr>
      <w:r>
        <w:rPr>
          <w:rStyle w:val="CharStyle11"/>
        </w:rPr>
        <w:t>Ленинградская ул., д. 90, Петропавловск-Камчатский, 683003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452" w:line="240" w:lineRule="exact"/>
        <w:ind w:left="0" w:right="0" w:firstLine="0"/>
      </w:pPr>
      <w:r>
        <w:rPr>
          <w:rStyle w:val="CharStyle11"/>
        </w:rPr>
        <w:t xml:space="preserve">Тел./факс (4152) 42-58-74 Эл. почта: </w:t>
      </w:r>
      <w:r>
        <w:fldChar w:fldCharType="begin"/>
      </w:r>
      <w:r>
        <w:rPr>
          <w:rStyle w:val="CharStyle11"/>
        </w:rPr>
        <w:instrText> HYPERLINK "mailto:to41@fas.gov.ru"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to41@fas.gov.ru</w:t>
      </w:r>
      <w:r>
        <w:fldChar w:fldCharType="end"/>
      </w:r>
    </w:p>
    <w:p>
      <w:pPr>
        <w:pStyle w:val="Style9"/>
        <w:tabs>
          <w:tab w:leader="underscore" w:pos="236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160" w:right="0" w:firstLine="0"/>
      </w:pPr>
      <w:r>
        <w:rPr>
          <w:rStyle w:val="CharStyle11"/>
        </w:rPr>
        <w:t>На №</w:t>
        <w:tab/>
        <w:t>от_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14"/>
          <w:b/>
          <w:bCs/>
        </w:rPr>
        <w:t>Заказчик: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36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Краевое государственное казенное учреждение «Служба заказчика Министерство строительства Камчатского края» ул. Ленинградская, 89, г. Петропавловск-Камчатский, 683000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rStyle w:val="CharStyle14"/>
          <w:b/>
          <w:bCs/>
        </w:rPr>
        <w:t>Уполномоченный орган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Министерство финансов Камчатского края пл. Ленина, 1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600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г. Петропавловск-Камчатский, 683040 </w:t>
      </w:r>
      <w:r>
        <w:rPr>
          <w:rStyle w:val="CharStyle17"/>
        </w:rPr>
        <w:t>Заявитель: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661" w:left="1133" w:right="1191" w:bottom="821" w:header="0" w:footer="3" w:gutter="0"/>
          <w:rtlGutter w:val="0"/>
          <w:cols w:num="2" w:space="922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«МОНОЛИТСТРОЙМОНТАЖ» пр. Металлистов, 7, лит. А, оф. 414, Санкт-Петербург, 195027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center"/>
        <w:spacing w:before="0" w:after="0" w:line="240" w:lineRule="exact"/>
        <w:ind w:left="0" w:right="0" w:firstLine="0"/>
        <w:sectPr>
          <w:type w:val="continuous"/>
          <w:pgSz w:w="11906" w:h="16838"/>
          <w:pgMar w:top="1661" w:left="4388" w:right="3831" w:bottom="82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№ 041/06/64-105/2019</w:t>
      </w:r>
    </w:p>
    <w:p>
      <w:pPr>
        <w:widowControl w:val="0"/>
        <w:spacing w:before="56" w:after="5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framePr w:h="230" w:wrap="around" w:hAnchor="margin" w:x="133" w:y="832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18"/>
          <w:spacing w:val="0"/>
        </w:rPr>
        <w:t>20 июня 2019 года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right"/>
        <w:spacing w:before="0" w:after="252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Петропавловск-Камчатский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Камчатскому краю (далее - Камчатское У ФАС России) по контролю в сфере закупок (далее - Комиссия) в составе: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ведущей заседание Комиссии - заместителя руководителя управления Кодерле И.В.,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главного специалиста-эксперта отдела антимонопольного контроля и закупок Самбраш Л.В.,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ведущего специалиста-эксперта отдела антимонопольного контроля и закупок Громова С.А.,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представителей заказчика - краевого государственного казенного учреждения «Служба заказчика Министерства строительства Камчатского края» (далее - Заказчик): Курпита М.П. (по доверенности от 09.01.2019), Калмыкова И.И. (по доверенности от 28.02.2019), в отсутствие: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уполномоченного органа - министерства финансов Камчатского края, уведомленного о времени и месте рассмотрения жалобы по адресу электронной почты,</w:t>
      </w:r>
    </w:p>
    <w:p>
      <w:pPr>
        <w:pStyle w:val="Style15"/>
        <w:tabs>
          <w:tab w:leader="none" w:pos="8223" w:val="center"/>
          <w:tab w:leader="none" w:pos="943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86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заявителя - общества с ограниченной ответственностью «МОНОЛИТСТРОЙМОНТАЖ» (далее - Заявитель), уведомленного о времени и месте рассмотрения жалобы по адресу электронной почты,</w:t>
        <w:tab/>
      </w:r>
      <w:r>
        <w:rPr>
          <w:rStyle w:val="CharStyle19"/>
        </w:rPr>
        <w:t>032247</w:t>
        <w:tab/>
        <w:t>А</w:t>
        <w:br w:type="page"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Заявителя на действия Заказчика при определении подрядчика путем электронного аукциона (далее - ЭА) на выполнение работ по строительству объекта «Детский сад на 200 мест в п. Ключи Усть-Камчатского района» (далее - Контракт)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20"/>
        <w:widowControl w:val="0"/>
        <w:keepNext/>
        <w:keepLines/>
        <w:shd w:val="clear" w:color="auto" w:fill="auto"/>
        <w:bidi w:val="0"/>
        <w:spacing w:before="0" w:after="261" w:line="240" w:lineRule="exact"/>
        <w:ind w:left="0" w:right="28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  <w:bookmarkEnd w:id="1"/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298" w:lineRule="exact"/>
        <w:ind w:left="4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Заказчиком начата процедура определения подрядчика путем ЭА на выполнение работ по строительству объекта «Детский сад на 200 мест в п. Ключи Усть-Камчатского района» (закупка № 0138200001219000016) (далее - Закупка); начальная (максимальная) цена контракта установлена в размере 431 024 352,00 рублей.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Камчатское УФАС России поступила жалоба Заявителя на действия Заказчика при разработке документации об ЭА.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40" w:right="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обоснование жалобы Заявитель привел следующие доводы: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«График выполнения строительно-монтажных работ» (Приложения № 3 к Контракту) и «График оплаты выполненных работ» (Приложения № 3.1 к Контракту) (далее - Графики) являющиеся неотъемлемой частью документации об ЭА не соответствуют разделам 2 и 3 Методики составления графика выполнения строительно-монтажных работ и графика оплаты выполненных по контракту (договору), предметом которого являются строительство, реконструкция объектов капитального строительства, работ, утвержденной приказом Министерства строительства и жилищно-коммунального хозяйства Российской Федерации от 05.06.18 № 336/пр. (далее - Методика), в нарушения требований частей 5, 6 статьи</w:t>
      </w:r>
    </w:p>
    <w:p>
      <w:pPr>
        <w:pStyle w:val="Style1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Закон о контрактной системе. По приложенным Графикам невозможно определить как будут оплачиваться работы и в какие сроки необходимо выполнять отдельные этапы исполнения контракта. Дополнительно под табличной частью Графиков должны быть отражены даты, не позднее которых должны состояться события в соответствии с пунктом 2.9. Методики.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письмом от 18.06.2019 № 1860 представил возражения на жалобу, в которых указал следующее.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Графики составлены по форме и в соответствии с Методикой. В пункте</w:t>
      </w:r>
    </w:p>
    <w:p>
      <w:pPr>
        <w:pStyle w:val="Style1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Контракта указано, что подрядчик обязан подготовить в течение 10 рабочих дней со дня получения проектно-сметной документации график выполнения строительно-монтажных работ (Приложение № 3 Контракта), содержащий сроки выполнения работ в соответствии с проектно-сметной документацией, проект производства работ, график оплаты выполненных работ; (Приложение № 3.1 Контракта) и передать Заказчику для согласования. </w:t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1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4.2.1 Контракта Заказчик обязан согласовать подготовленные Подрядчиком Графики в течение 10 (десяти) рабочих дней со дня его получения, либо направить мотивированный отказ.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40" w:line="298" w:lineRule="exact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Заказчик производит оплату принятых работ (пункт 2.6 Контракта,) в соответствии с пунктами 6.1 и 6.2 Контракта, на основании актов о приемке выполненных работ по форме № КС-2 (Приложение № 4 Контракта) и справки о стоимости выполненных работ и затрат по форме № КС-3 (Приложение № 5 Контракта) в соответствии с Графиком оплаты выполненных работ (Приложение </w:t>
      </w:r>
      <w:r>
        <w:rPr>
          <w:rStyle w:val="CharStyle19"/>
        </w:rPr>
        <w:t>№3.1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Контракта), в течение 15 (пятнадцати) рабочих дней с даты подписания Заказчиком указанных документов.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40" w:line="298" w:lineRule="exact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5 статьи 110.2 Закона о контрактной системе, контракт, предметом которого являются строительство и (или) реконструкция объектов капитального строительства, должен содержать условие о поэтапной оплате выполненных подрядчиком работ исходя из объема таких работ и цены контракта.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6 статьи 110.2 Закона о контрактной системе, объем выполненных по контракту работ определяется с учетом статьи 743 Гражданского кодекса Российской Федерации (далее - ГК РФ). При этом оплата выполненных по контракту работ осуществляется в сроки и в размерах, которые установлены графиком оплаты выполненных по контракту работ с учетом графика выполнения строительно-монтажных работ.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части 7 статьи 110.2 Закона о контрактной системе, Методика составления указанных в части 6 данной статьи, графиков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2 статьи 743 ГК РФ договором строительного подряда должны быть определены состав и содержание технической документации, а также должно быть предусмотрено, какая из сторон и в какой срок должна предоставить соответствующую документацию.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 статьи 746 ГК РФ оплата выполненных подрядчиком работ производится заказчиком в размере, предусмотренном сметой, в сроки и в порядке, которые установлены законом или договором строительного подряда.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пункте 2.9. Методики указано, что дополнительно под табличной частью графика выполнения работ до полей для подписания его сторонами контракта в графике выполнения работ должны быть отражены даты, не позднее которых должны состояться следующие события:</w:t>
      </w:r>
    </w:p>
    <w:p>
      <w:pPr>
        <w:pStyle w:val="Style1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подписание сторонами акта о соответствии состояния земельного участка (объекта капитального строительства, подлежащего реконструкции) условиям контракта;</w:t>
      </w:r>
    </w:p>
    <w:p>
      <w:pPr>
        <w:pStyle w:val="Style1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передача подрядчику копии разрешения на строительство, реконструкцию объекта; копии решения собственника имущества о его сносе (при необходимости); копии разрешения на вырубку зеленых и лесных насаждений; копии технических условий и разрешений на временное присоединение объекта к сетям инженерно-технического обеспечения в соответствии с проектом организации строительства;</w:t>
      </w:r>
    </w:p>
    <w:p>
      <w:pPr>
        <w:pStyle w:val="Style15"/>
        <w:numPr>
          <w:ilvl w:val="0"/>
          <w:numId w:val="9"/>
        </w:numPr>
        <w:tabs>
          <w:tab w:leader="none" w:pos="17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передача подрядчику копий документов, подтверждающих</w:t>
      </w:r>
    </w:p>
    <w:p>
      <w:pPr>
        <w:pStyle w:val="Style15"/>
        <w:tabs>
          <w:tab w:leader="none" w:pos="17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согласование</w:t>
        <w:tab/>
        <w:t>производства отдельных работ, если необходимость такого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согласования установлена законодательством Российской Федерации;</w:t>
      </w:r>
    </w:p>
    <w:p>
      <w:pPr>
        <w:pStyle w:val="Style15"/>
        <w:numPr>
          <w:ilvl w:val="0"/>
          <w:numId w:val="9"/>
        </w:numPr>
        <w:tabs>
          <w:tab w:leader="none" w:pos="17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подключение объекта к сетям инженерно-технического обеспечения в соответствии</w:t>
        <w:tab/>
        <w:t>с техническими условиями, предусмотренными проектной документацией;</w:t>
      </w:r>
    </w:p>
    <w:p>
      <w:pPr>
        <w:pStyle w:val="Style15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36"/>
        <w:ind w:left="4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подписание акта о соответствии состояния земельного участка условиям контракта при завершении строительства, реконструкции объекта.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разделе 4 Контракта установлены права и обязанности сторон, в разделе 2 Контракта установлена цена контракта и порядок расчетов.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пункте 2.6 Контракта установлено, что Заказчик производит оплату принятых работ, в соответствии с пунктами 6.1 и 6.2 Контракта, на основании актов о приемке выполненных работ по форме № КС-2 (Приложение № 4 Контракта) и справки о стоимости выполненных работ и затрат по форме № КС-3 (Приложение № 5 Контракта) в соответствии с Графиком: оплаты выполненных работ (Приложение № 3.1 Контракта), за вычетом авансовых платежей, в размере указанном в пункте 2.4. Контракта, в течение 15 (пятнадцати) рабочих дней с даты подписания Заказчиком указанных документов, но не более утвержденных лимитов бюджетных обязательств.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4.4.2 Контракта, подрядчик обязан подготовить в течение 10 (десяти) рабочих дней со дня получения проектно-сметной документации график выполнения строительно-монтажных работ (Приложение № 3 Контракта), содержащий сроки выполнения работ в соответствии с проектно-сметной документацией, проект производства работ, график оплаты выполненных работ (Приложение № 3.1 Контракта) и передать Заказчику для согласования. Выполнить работы в полном соответствии с Контрактом, проектно-сметной документацией, соблюдением требований ГОСТ, строительных правил, регламентов и в соответствии с законодательством Российской Федерации;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40" w:line="298" w:lineRule="exact"/>
        <w:ind w:left="4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4.2.1 Контракта, Заказчик обязан согласовать подготовленный Подрядчиком график выполнения строительно-монтажных работ (Приложение № 3 Контракта) с указанными сроками исполнения, График оплаты выполненных работ (Приложение №3.1 Контракта), расчет стоимости подрядных работ по строительству объекта (Приложение №2 Контракта), проект производства работ, Виды и объемы работ, которые Подрядчик выполняет самостоятельно без привлечения субподрядчиков (Приложение № 8 Контракта) в течение 10 (десяти) рабочих дней со дня его получения, либо направить мотивированный отказ. В случае направления Заказчиком Подрядчику мотивированного отказа в утверждении графика выполнения строительно-монтажных работ Стороны согласовывают новые сроки выполнения работ, с учетом которых Подрядчик подготавливает новый график выполнения строительно-монтажных работ, расчет цены Контракта и направляет его для утверждения Заказчику.</w:t>
      </w:r>
    </w:p>
    <w:p>
      <w:pPr>
        <w:pStyle w:val="Style15"/>
        <w:tabs>
          <w:tab w:leader="none" w:pos="698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4.4.2 Контракта, подрядчик обязан подготовить в течение 10 (десяти) рабочих дней со дня получения проектно-сметной документации Графики и передать Заказчику для согласования.</w:t>
        <w:tab/>
        <w:t>к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4.2.1 Контракта, Заказчик обязан согласовать подготовленные Подрядчиком Графики в течение 10 (десяти) рабочих дней со дня его получения, либо направить мотивированный отказ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40" w:line="298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пункте 2.6 Контракта установлено, что Заказчик производит оплату принятых работ, в соответствии с пунктами 6.1 и 6.2 Контракта, на основании актов о приемке выполненных работ по форме № КС-2 и справки о стоимости выполненных работ и затрат по форме № КС-3 в соответствии с Графиком оплаты выполненных работ в течение 15 (пятнадцати) рабочих дней с даты подписания Заказчиком указанных документов.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44" w:line="298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изучила документацию об ЭА и установила, что она содержит Графики с указанием в них информации, в том числе: о наименовании раздела, стоимости, доли выполнения, периода и т.д., что соответствует статьям 743, 746 ГК РФ, требованиям частей 5. 6, 7 Закона о контрактной системе и Методике.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33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доводы Заявителя о том, что по приложенным Графикам невозможно определить как будут оплачиваться работы и в какие сроки необходимо выполнять отдельные этапы исполнения контракта не нашли своего подтверждения.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14" w:line="302" w:lineRule="exact"/>
        <w:ind w:left="20" w:right="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 и руководствуясь частью 8 статьи 106 Закона о контрактной системе, Административным регламентом, утвержденным приказом ФАС России от 19.11.2014 № 727/14, Комиссия</w:t>
      </w:r>
    </w:p>
    <w:p>
      <w:pPr>
        <w:pStyle w:val="Style20"/>
        <w:tabs>
          <w:tab w:leader="none" w:pos="6893" w:val="center"/>
        </w:tabs>
        <w:widowControl w:val="0"/>
        <w:keepNext/>
        <w:keepLines/>
        <w:shd w:val="clear" w:color="auto" w:fill="auto"/>
        <w:bidi w:val="0"/>
        <w:jc w:val="both"/>
        <w:spacing w:before="0" w:after="0" w:line="586" w:lineRule="exact"/>
        <w:ind w:left="420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  <w:tab/>
        <w:t>:</w:t>
      </w:r>
      <w:bookmarkEnd w:id="2"/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43" w:line="586" w:lineRule="exact"/>
        <w:ind w:left="20" w:right="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необоснованной.</w:t>
      </w:r>
    </w:p>
    <w:sectPr>
      <w:type w:val="continuous"/>
      <w:pgSz w:w="11906" w:h="16838"/>
      <w:pgMar w:top="652" w:left="1148" w:right="1148" w:bottom="1607" w:header="0" w:footer="3" w:gutter="158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9"/>
      <w:numFmt w:val="decimal"/>
      <w:lvlText w:val="27.05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9"/>
      <w:numFmt w:val="decimal"/>
      <w:lvlText w:val="13.06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"/>
      <w:numFmt w:val="decimal"/>
      <w:lvlText w:val="1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"/>
      <w:numFmt w:val="decimal"/>
      <w:lvlText w:val="4.4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2.9.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Заголовок №1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Заголовок №1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4">
    <w:name w:val="Основной текст (4)"/>
    <w:basedOn w:val="CharStyle13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6">
    <w:name w:val="Основной текст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 + Полужирный"/>
    <w:basedOn w:val="CharStyle16"/>
    <w:rPr>
      <w:lang w:val="ru-RU" w:eastAsia="ru-RU" w:bidi="ru-RU"/>
      <w:b/>
      <w:b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"/>
    </w:rPr>
  </w:style>
  <w:style w:type="character" w:customStyle="1" w:styleId="CharStyle19">
    <w:name w:val="Основной текст + Интервал 2 pt"/>
    <w:basedOn w:val="CharStyle16"/>
    <w:rPr>
      <w:lang w:val="ru-RU" w:eastAsia="ru-RU" w:bidi="ru-RU"/>
      <w:sz w:val="24"/>
      <w:szCs w:val="24"/>
      <w:w w:val="100"/>
      <w:spacing w:val="40"/>
      <w:color w:val="000000"/>
      <w:position w:val="0"/>
    </w:rPr>
  </w:style>
  <w:style w:type="character" w:customStyle="1" w:styleId="CharStyle21">
    <w:name w:val="Заголовок №2_"/>
    <w:basedOn w:val="DefaultParagraphFont"/>
    <w:link w:val="Style2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420" w:line="26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Заголовок №1"/>
    <w:basedOn w:val="Normal"/>
    <w:link w:val="CharStyle7"/>
    <w:pPr>
      <w:widowControl w:val="0"/>
      <w:shd w:val="clear" w:color="auto" w:fill="FFFFFF"/>
      <w:jc w:val="center"/>
      <w:outlineLvl w:val="0"/>
      <w:spacing w:before="420" w:after="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60" w:after="60" w:line="254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spacing w:line="293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FFFFFF"/>
      <w:spacing w:after="240" w:line="29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0">
    <w:name w:val="Заголовок №2"/>
    <w:basedOn w:val="Normal"/>
    <w:link w:val="CharStyle21"/>
    <w:pPr>
      <w:widowControl w:val="0"/>
      <w:shd w:val="clear" w:color="auto" w:fill="FFFFFF"/>
      <w:jc w:val="center"/>
      <w:outlineLvl w:val="1"/>
      <w:spacing w:before="240"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