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ФЕДЕРАЛЬНАЯ АНТИМОНОПОЛЬНАЯ СЛУЖБА </w:t>
      </w:r>
      <w:r>
        <w:rPr>
          <w:rStyle w:val="CharStyle5"/>
          <w:b/>
          <w:bCs/>
        </w:rPr>
        <w:t>УПРАВЛЕНИЕ</w:t>
      </w:r>
    </w:p>
    <w:p>
      <w:pPr>
        <w:pStyle w:val="Style3"/>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184"/>
        <w:ind w:left="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"mailto:to86@fas.gov.in" </w:instrText>
      </w:r>
      <w:r>
        <w:fldChar w:fldCharType="separate"/>
      </w:r>
      <w:r>
        <w:rPr>
          <w:rStyle w:val="Hyperlink"/>
        </w:rPr>
        <w:t>to86@fas.gov.in</w:t>
      </w:r>
      <w:r>
        <w:fldChar w:fldCharType="end"/>
      </w:r>
    </w:p>
    <w:p>
      <w:pPr>
        <w:pStyle w:val="Style9"/>
        <w:widowControl w:val="0"/>
        <w:keepNext w:val="0"/>
        <w:keepLines w:val="0"/>
        <w:shd w:val="clear" w:color="auto" w:fill="auto"/>
        <w:bidi w:val="0"/>
        <w:jc w:val="left"/>
        <w:spacing w:before="0" w:after="0" w:line="300" w:lineRule="exact"/>
        <w:ind w:left="0" w:right="0" w:firstLine="0"/>
      </w:pPr>
      <w:r>
        <w:rPr>
          <w:rStyle w:val="CharStyle11"/>
        </w:rPr>
        <w:t xml:space="preserve">^у. </w:t>
      </w:r>
      <w:r>
        <w:rPr>
          <w:rStyle w:val="CharStyle12"/>
        </w:rPr>
        <w:t>р£.</w:t>
      </w:r>
      <w:r>
        <w:rPr>
          <w:lang w:val="ru-RU" w:eastAsia="ru-RU" w:bidi="ru-RU"/>
          <w:w w:val="100"/>
          <w:spacing w:val="0"/>
          <w:color w:val="000000"/>
          <w:position w:val="0"/>
        </w:rPr>
        <w:t xml:space="preserve"> -2019 № 03/КА-</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119435, г. Москва, Большой Саввинский переулок, д. 12, стр.9</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(495) 7872999/97 доб. 369, Факс: (495) 7872998</w:t>
      </w:r>
    </w:p>
    <w:p>
      <w:pPr>
        <w:pStyle w:val="Style9"/>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3"/>
        </w:rPr>
        <w:t>Заявитель:</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"КС-Строй"</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656037, Алтайский край, г. Барнаул, ул. Горно-</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Алтайская 15-433</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+7 (913) 227-40-90</w:t>
      </w:r>
    </w:p>
    <w:p>
      <w:pPr>
        <w:pStyle w:val="Style9"/>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"mailto:shastuni@inbox.ru" </w:instrText>
      </w:r>
      <w:r>
        <w:fldChar w:fldCharType="separate"/>
      </w:r>
      <w:r>
        <w:rPr>
          <w:rStyle w:val="Hyperlink"/>
          <w:lang w:val="en-US" w:eastAsia="en-US" w:bidi="en-US"/>
          <w:w w:val="100"/>
          <w:spacing w:val="0"/>
          <w:position w:val="0"/>
        </w:rPr>
        <w:t>shastuni@inbox.ru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Муниципальное учреждение управление капитального строительства Кондинского района</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628200, Ханты-Мансийский автономный округ - Югра, Кондинский р-н, пгт. Междуреченский, ул. Титова, д. 14 «А» тел: 7 (34677) 34-308 </w:t>
      </w:r>
      <w:r>
        <w:rPr>
          <w:rStyle w:val="CharStyle11"/>
          <w:lang w:val="en-US" w:eastAsia="en-US" w:bidi="en-US"/>
        </w:rPr>
        <w:t>e-mail</w:t>
      </w:r>
      <w:r>
        <w:rPr>
          <w:lang w:val="en-US" w:eastAsia="en-US" w:bidi="en-US"/>
          <w:w w:val="100"/>
          <w:spacing w:val="0"/>
          <w:color w:val="000000"/>
          <w:position w:val="0"/>
        </w:rPr>
        <w:t xml:space="preserve">: </w:t>
      </w:r>
      <w:r>
        <w:fldChar w:fldCharType="begin"/>
      </w:r>
      <w:r>
        <w:rPr>
          <w:color w:val="000000"/>
        </w:rPr>
        <w:instrText> HYPERLINK "mailto:uks@admkonda.ru" </w:instrText>
      </w:r>
      <w:r>
        <w:fldChar w:fldCharType="separate"/>
      </w:r>
      <w:r>
        <w:rPr>
          <w:rStyle w:val="Hyperlink"/>
          <w:lang w:val="en-US" w:eastAsia="en-US" w:bidi="en-US"/>
          <w:w w:val="100"/>
          <w:spacing w:val="0"/>
          <w:position w:val="0"/>
        </w:rPr>
        <w:t>uks@admkonda.ru</w:t>
      </w:r>
      <w:r>
        <w:fldChar w:fldCharType="end"/>
      </w:r>
      <w:r>
        <w:rPr>
          <w:lang w:val="en-US" w:eastAsia="en-US" w:bidi="en-US"/>
          <w:w w:val="100"/>
          <w:spacing w:val="0"/>
          <w:color w:val="000000"/>
          <w:position w:val="0"/>
        </w:rPr>
        <w:t xml:space="preserve"> </w:t>
      </w:r>
      <w:r>
        <w:rPr>
          <w:rStyle w:val="CharStyle13"/>
        </w:rPr>
        <w:t>Уполномоченный орган:</w:t>
      </w:r>
    </w:p>
    <w:p>
      <w:pPr>
        <w:pStyle w:val="Style9"/>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883" w:left="1355" w:right="817" w:bottom="893" w:header="0" w:footer="3" w:gutter="0"/>
          <w:rtlGutter w:val="0"/>
          <w:cols w:num="2" w:space="720" w:equalWidth="0">
            <w:col w:w="3912" w:space="605"/>
            <w:col w:w="5218"/>
          </w:cols>
          <w:noEndnote/>
          <w:docGrid w:linePitch="360"/>
        </w:sectPr>
      </w:pPr>
      <w:r>
        <w:rPr>
          <w:lang w:val="ru-RU" w:eastAsia="ru-RU" w:bidi="ru-RU"/>
          <w:w w:val="100"/>
          <w:spacing w:val="0"/>
          <w:color w:val="000000"/>
          <w:position w:val="0"/>
        </w:rPr>
        <w:t xml:space="preserve">Администрации Кондинского района 628200, Ханты-Мансийский автономный округ - Югра, Кондинский р-н, пгт.Междуреченский, ул.Титова, д. 21 тел: 8 (34677) 32-731 </w:t>
      </w:r>
      <w:r>
        <w:rPr>
          <w:lang w:val="en-US" w:eastAsia="en-US" w:bidi="en-US"/>
          <w:w w:val="100"/>
          <w:spacing w:val="0"/>
          <w:color w:val="000000"/>
          <w:position w:val="0"/>
        </w:rPr>
        <w:t>e-mail:</w:t>
      </w:r>
      <w:r>
        <w:fldChar w:fldCharType="begin"/>
      </w:r>
      <w:r>
        <w:rPr>
          <w:color w:val="000000"/>
        </w:rPr>
        <w:instrText> HYPERLINK "mailto:_zakupki@admkonda.ru" </w:instrText>
      </w:r>
      <w:r>
        <w:fldChar w:fldCharType="separate"/>
      </w:r>
      <w:r>
        <w:rPr>
          <w:rStyle w:val="Hyperlink"/>
          <w:lang w:val="en-US" w:eastAsia="en-US" w:bidi="en-US"/>
          <w:w w:val="100"/>
          <w:spacing w:val="0"/>
          <w:position w:val="0"/>
        </w:rPr>
        <w:t>_zakupki@admkonda.ru</w:t>
      </w:r>
      <w:r>
        <w:fldChar w:fldCharType="end"/>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883" w:left="5315" w:right="5070" w:bottom="893"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0" w:wrap="around" w:vAnchor="text" w:hAnchor="margin" w:x="7612" w:y="3"/>
        <w:widowControl w:val="0"/>
        <w:keepNext w:val="0"/>
        <w:keepLines w:val="0"/>
        <w:shd w:val="clear" w:color="auto" w:fill="auto"/>
        <w:bidi w:val="0"/>
        <w:jc w:val="left"/>
        <w:spacing w:before="0" w:after="0" w:line="220" w:lineRule="exact"/>
        <w:ind w:left="100" w:right="0" w:firstLine="0"/>
      </w:pPr>
      <w:r>
        <w:rPr>
          <w:rStyle w:val="CharStyle14"/>
        </w:rPr>
        <w:t>г. Ханты-Мансийск</w:t>
      </w:r>
    </w:p>
    <w:p>
      <w:pPr>
        <w:pStyle w:val="Style9"/>
        <w:widowControl w:val="0"/>
        <w:keepNext w:val="0"/>
        <w:keepLines w:val="0"/>
        <w:shd w:val="clear" w:color="auto" w:fill="auto"/>
        <w:bidi w:val="0"/>
        <w:jc w:val="left"/>
        <w:spacing w:before="0" w:after="240" w:line="274" w:lineRule="exact"/>
        <w:ind w:left="0" w:right="3280" w:firstLine="0"/>
      </w:pPr>
      <w:r>
        <w:rPr>
          <w:lang w:val="ru-RU" w:eastAsia="ru-RU" w:bidi="ru-RU"/>
          <w:w w:val="100"/>
          <w:spacing w:val="0"/>
          <w:color w:val="000000"/>
          <w:position w:val="0"/>
        </w:rPr>
        <w:t>Резолютивная часть объявлена 19.06.2019 Изготовлено в полном объеме 21.06.2019</w:t>
      </w:r>
    </w:p>
    <w:p>
      <w:pPr>
        <w:pStyle w:val="Style9"/>
        <w:widowControl w:val="0"/>
        <w:keepNext w:val="0"/>
        <w:keepLines w:val="0"/>
        <w:shd w:val="clear" w:color="auto" w:fill="auto"/>
        <w:bidi w:val="0"/>
        <w:jc w:val="both"/>
        <w:spacing w:before="0" w:after="0" w:line="274" w:lineRule="exact"/>
        <w:ind w:left="0" w:right="20" w:firstLine="58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jc w:val="both"/>
        <w:spacing w:before="0" w:after="0" w:line="274" w:lineRule="exact"/>
        <w:ind w:left="0" w:right="0" w:firstLine="58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jc w:val="both"/>
        <w:spacing w:before="0" w:after="0" w:line="274" w:lineRule="exact"/>
        <w:ind w:left="0" w:right="0" w:firstLine="580"/>
      </w:pPr>
      <w:r>
        <w:rPr>
          <w:lang w:val="ru-RU" w:eastAsia="ru-RU" w:bidi="ru-RU"/>
          <w:w w:val="100"/>
          <w:spacing w:val="0"/>
          <w:color w:val="000000"/>
          <w:position w:val="0"/>
        </w:rPr>
        <w:t xml:space="preserve"> Иванов В.П. - Заместитель руководителя Управления;</w:t>
      </w:r>
    </w:p>
    <w:p>
      <w:pPr>
        <w:pStyle w:val="Style9"/>
        <w:widowControl w:val="0"/>
        <w:keepNext w:val="0"/>
        <w:keepLines w:val="0"/>
        <w:shd w:val="clear" w:color="auto" w:fill="auto"/>
        <w:bidi w:val="0"/>
        <w:jc w:val="both"/>
        <w:spacing w:before="0" w:after="0" w:line="274" w:lineRule="exact"/>
        <w:ind w:left="0" w:right="0" w:firstLine="58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both"/>
        <w:spacing w:before="0" w:after="0" w:line="274" w:lineRule="exact"/>
        <w:ind w:left="0" w:right="0" w:firstLine="58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9"/>
        <w:numPr>
          <w:ilvl w:val="0"/>
          <w:numId w:val="1"/>
        </w:numPr>
        <w:widowControl w:val="0"/>
        <w:keepNext w:val="0"/>
        <w:keepLines w:val="0"/>
        <w:shd w:val="clear" w:color="auto" w:fill="auto"/>
        <w:bidi w:val="0"/>
        <w:jc w:val="both"/>
        <w:spacing w:before="0" w:after="240" w:line="274" w:lineRule="exact"/>
        <w:ind w:left="0" w:right="0" w:firstLine="580"/>
      </w:pPr>
      <w:r>
        <w:rPr>
          <w:lang w:val="ru-RU" w:eastAsia="ru-RU" w:bidi="ru-RU"/>
          <w:w w:val="100"/>
          <w:spacing w:val="0"/>
          <w:color w:val="000000"/>
          <w:position w:val="0"/>
        </w:rPr>
        <w:t xml:space="preserve"> Тохтахунов О.Х. - Старший государственный инспектор отдела Управления.</w:t>
      </w:r>
    </w:p>
    <w:p>
      <w:pPr>
        <w:pStyle w:val="Style9"/>
        <w:widowControl w:val="0"/>
        <w:keepNext w:val="0"/>
        <w:keepLines w:val="0"/>
        <w:shd w:val="clear" w:color="auto" w:fill="auto"/>
        <w:bidi w:val="0"/>
        <w:jc w:val="both"/>
        <w:spacing w:before="0" w:after="240" w:line="274" w:lineRule="exact"/>
        <w:ind w:left="580" w:right="3280" w:firstLine="0"/>
      </w:pPr>
      <w:r>
        <w:rPr>
          <w:lang w:val="ru-RU" w:eastAsia="ru-RU" w:bidi="ru-RU"/>
          <w:w w:val="100"/>
          <w:spacing w:val="0"/>
          <w:color w:val="000000"/>
          <w:position w:val="0"/>
        </w:rPr>
        <w:t>от Заявителя - не явились, уведомлены надлежащим образом; от Заказчика - не явились, уведомлены надлежащим образом; от Уполномоченного органа - не явились, уведомлены надлежащим образом.</w:t>
      </w:r>
    </w:p>
    <w:p>
      <w:pPr>
        <w:pStyle w:val="Style9"/>
        <w:widowControl w:val="0"/>
        <w:keepNext w:val="0"/>
        <w:keepLines w:val="0"/>
        <w:shd w:val="clear" w:color="auto" w:fill="auto"/>
        <w:bidi w:val="0"/>
        <w:jc w:val="both"/>
        <w:spacing w:before="0" w:after="95" w:line="274" w:lineRule="exact"/>
        <w:ind w:left="0" w:right="20" w:firstLine="580"/>
      </w:pPr>
      <w:r>
        <w:rPr>
          <w:lang w:val="ru-RU" w:eastAsia="ru-RU" w:bidi="ru-RU"/>
          <w:w w:val="100"/>
          <w:spacing w:val="0"/>
          <w:color w:val="000000"/>
          <w:position w:val="0"/>
        </w:rPr>
        <w:t>Рассмотрев жалобу ООО "КС-Строй" (ИНН 2224151930, ОГРН 1122224001404) от 11.06.2019 №1040-ж на действия Заказчика - Муниципального учреждения управление капитального строительства Кондинского района , Уполномоченного органа - Администрации Кондинского</w:t>
        <w:br w:type="page"/>
        <w:t xml:space="preserve">района, при проведении электронного аукциона, предметом которого является выполнение работ по строительству объекта: "ВОС на 300 куб/сут. в с. Болчары, Кондинского района" (извещение №0187300003519000207),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88" w:line="23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"КС-Строй" (далее - Заявитель) на действия Заказчика, Уполномоченного органа при проведении электронного аукциона.</w:t>
      </w:r>
    </w:p>
    <w:p>
      <w:pPr>
        <w:pStyle w:val="Style9"/>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Заявитель в жалобе указал следующее:</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Согласно части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Согласно статьи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9"/>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При этом пунктом 15.8.2 проекта контракта Заказчиком установлено:</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«15.8.2. Денежные средства возвращаются Подрядчику в полном объёме (либо в части, оставшейся после удовлетворения требований, возникших в период действия обеспечения) в течение десяти банковских дней с момента подписания Сторонами документов, подтверждающих надлежащее исполнение Подрядчиком своих обязательств по Контракту в полном объеме».</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Вместе с тем, понятие «банковский день» не предусмотрено законодательством Российской Федерации.</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Таким образом, действия Заказчика, не установившего надлежащий срок возврата Заказчиком исполнителю денежных средств, внесенных в качестве обеспечения исполнения контракта, нарушают часть 27 статьи 34 Закона о контрактной системе.</w:t>
      </w:r>
    </w:p>
    <w:p>
      <w:pPr>
        <w:pStyle w:val="Style3"/>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9"/>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 В соответствии с требованиями части 1 и 2 статьи 24 Федерального закона № 44-ФЗ от 05.04.2013 года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выполнение работ по строительству объекта: "ВОС на 300 куб/сут. в с. Болчары, Кондинского района" (извещение №0187300003519000207) размещены на официальном сайте единой информационной системы 24.05.2019.</w:t>
      </w:r>
    </w:p>
    <w:p>
      <w:pPr>
        <w:pStyle w:val="Style9"/>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Проанализировав аукционную документацию Комиссией Управления было установлено, что</w:t>
      </w:r>
    </w:p>
    <w:p>
      <w:pPr>
        <w:pStyle w:val="Style9"/>
        <w:numPr>
          <w:ilvl w:val="0"/>
          <w:numId w:val="3"/>
        </w:numPr>
        <w:tabs>
          <w:tab w:leader="none" w:pos="822"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проекта контракта денежные средства возвращаются Подрядчику в полном объёме (либо в части, оставшейся после удовлетворения требований, возникших в период действия обеспечения) в течение десяти банковских дней с момента подписания Сторонами документов, подтверждающих надлежащее исполнение Подрядчиком своих обязательств по Контракту в полном объеме.</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части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Вместе с тем, Комиссия Управления отмечает, что из положений части 27 статьи 34 Закона о контрактной системе следует, что Заказчик самостоятельно устанавливает срок в течение которого Заказчик обязан вернуть денежные средства Подрядчику, при этом требование о том, в каких днях (рабочих/календарных/ операционных/банковских) должен быть установлен такой срок Законом о контрактной системе не установлено.</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Под понятием банковский день понимают часы работы конкретного финансового учреждения, во время которых производится осуществление расчетных операций и работа с клиентами.</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Использование в проекте контракта понятия банковский день, по мнению Комиссии Управления не противоречит требованиям Закона о контрактной системе.</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ходе осуществления внеплановой проверки Комиссией Управлени было установлено следующее.</w:t>
      </w:r>
    </w:p>
    <w:p>
      <w:pPr>
        <w:pStyle w:val="Style9"/>
        <w:numPr>
          <w:ilvl w:val="0"/>
          <w:numId w:val="5"/>
        </w:numPr>
        <w:tabs>
          <w:tab w:leader="none" w:pos="899"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силу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Постановлением Правительства РФ от 15.05.2017 № 570 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(далее — Постановление №570).</w:t>
      </w:r>
    </w:p>
    <w:p>
      <w:pPr>
        <w:pStyle w:val="Style9"/>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В пункте 2 Постановления №570 установлено, что:</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б)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не менее 15 процентов цены государственного и (или) муниципального контракта - со дня вступления в силу настоящего постановления и до 1 июля 2018 г.;</w:t>
      </w:r>
    </w:p>
    <w:p>
      <w:pPr>
        <w:pStyle w:val="Style9"/>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не менее 25 процентов цены государственного и (или) муниципального контракта - с 1 июля 2018 г.</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пункте 15 раздела II «Техническое задание» аукционной документации Заказчиком установлено, что Подрядчик обязан выполнить самостоятельно без привлечения других лиц к исполнению своих обязательств по Муниципальному контракту конкретные виды и объемы работ из числа нижеперечисленных видов работ. Исходя из сметной стоимости этих работ, предусмотренной проектной документацией, в совокупном стоимостном выражении объем работ должен составлять не менее 15 процентов от цены Муниципального контракта. Данные виды и объемы работ включаются в условия Муниципального контракта.</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При этом в Приложении №6 контракта установлено иное требование - не менее 25 % цены настоящего контракта (подпункт «б» пункта 2 постановления Правительства Российской Федерации от 15 мая 2017 года№ 570).</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соответствии с частью 3 статьи 7 Закона о контарктной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Учитывая вышеизложенное, Комиссия Управления приходит к выводу о наличии в действиях Заказчика, Уполномоченного органа нарушения части 3 статьи 7 Закона о контрактной системе.</w:t>
      </w:r>
    </w:p>
    <w:p>
      <w:pPr>
        <w:pStyle w:val="Style9"/>
        <w:numPr>
          <w:ilvl w:val="0"/>
          <w:numId w:val="5"/>
        </w:numPr>
        <w:tabs>
          <w:tab w:leader="none" w:pos="957" w:val="left"/>
        </w:tabs>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соответствии с частью 5 статьи 110.2 Закона о контарктной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Согласно части 6 статьи 110.2 Закона о контрактной системе объем выполненных по контракту работ определяется с учетом статьи 743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Из части 7 статьи 110.2 Закона о контарктной системе методика составления указанных в части 6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w:t>
        <w:softHyphen/>
        <w:t>правовому регулированию в сфере строительства, архитектуры, градостроительства.</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Приказом Минстроя России от 05.06.2018 № 336/пр утверждена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(Зарегистрировано в Минюсте России 23.10.2018 </w:t>
      </w:r>
      <w:r>
        <w:rPr>
          <w:lang w:val="en-US" w:eastAsia="en-US" w:bidi="en-US"/>
          <w:w w:val="100"/>
          <w:spacing w:val="0"/>
          <w:color w:val="000000"/>
          <w:position w:val="0"/>
        </w:rPr>
        <w:t xml:space="preserve">N </w:t>
      </w:r>
      <w:r>
        <w:rPr>
          <w:lang w:val="ru-RU" w:eastAsia="ru-RU" w:bidi="ru-RU"/>
          <w:w w:val="100"/>
          <w:spacing w:val="0"/>
          <w:color w:val="000000"/>
          <w:position w:val="0"/>
        </w:rPr>
        <w:t>52499).</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разделе I Приказа Минстроя России от 05.06.2018 № 336/пр установлены следующие требования:</w:t>
      </w:r>
    </w:p>
    <w:p>
      <w:pPr>
        <w:pStyle w:val="Style9"/>
        <w:numPr>
          <w:ilvl w:val="0"/>
          <w:numId w:val="7"/>
        </w:numPr>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 График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pPr>
        <w:pStyle w:val="Style9"/>
        <w:numPr>
          <w:ilvl w:val="0"/>
          <w:numId w:val="7"/>
        </w:numPr>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 График оплаты выполненных по контракту, предметом которого являются строительство, реконструкция объектов капитального строительства, работ (далее - график оплаты выполненных работ), должен содержать информацию о сроках и размере оплаты выполненных строительно-монтажных работ.</w:t>
      </w:r>
    </w:p>
    <w:p>
      <w:pPr>
        <w:pStyle w:val="Style9"/>
        <w:numPr>
          <w:ilvl w:val="0"/>
          <w:numId w:val="7"/>
        </w:numPr>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9"/>
        <w:numPr>
          <w:ilvl w:val="0"/>
          <w:numId w:val="7"/>
        </w:numPr>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 График выполнения работ и график оплаты выполненных работ должны составляться в табличной форме, состоящей из взаимосвязанных граф, строк и колонок.</w:t>
      </w:r>
    </w:p>
    <w:p>
      <w:pPr>
        <w:pStyle w:val="Style9"/>
        <w:numPr>
          <w:ilvl w:val="0"/>
          <w:numId w:val="7"/>
        </w:numPr>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 Под табличной частью в графике выполнения работ и графике оплаты выполненных работ предусматриваются поля для подписания их сторонами контракта.</w:t>
      </w:r>
    </w:p>
    <w:p>
      <w:pPr>
        <w:pStyle w:val="Style9"/>
        <w:numPr>
          <w:ilvl w:val="0"/>
          <w:numId w:val="7"/>
        </w:numPr>
        <w:tabs>
          <w:tab w:leader="none" w:pos="1134" w:val="left"/>
        </w:tabs>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Изменение графика выполнения работ и графика оплаты выполненных работ не допускается, за исключением случаев, предусмотренных контрактом, с учетом требований Закона о контрактной системе.</w:t>
      </w:r>
    </w:p>
    <w:p>
      <w:pPr>
        <w:pStyle w:val="Style9"/>
        <w:tabs>
          <w:tab w:leader="underscore" w:pos="6544" w:val="left"/>
          <w:tab w:leader="underscore" w:pos="8642" w:val="left"/>
          <w:tab w:leader="underscore" w:pos="9808" w:val="left"/>
        </w:tabs>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 xml:space="preserve">Проанализировав аукционную документацию, Комиссией Управления было установлено, что в пункте 18.5. проекта контракта предусмотрены следующие приложения, которые являются </w:t>
      </w:r>
      <w:r>
        <w:rPr>
          <w:rStyle w:val="CharStyle11"/>
        </w:rPr>
        <w:t>неотъемлемой частью настоящего Контракта:</w:t>
      </w:r>
      <w:r>
        <w:rPr>
          <w:lang w:val="ru-RU" w:eastAsia="ru-RU" w:bidi="ru-RU"/>
          <w:w w:val="100"/>
          <w:spacing w:val="0"/>
          <w:color w:val="000000"/>
          <w:position w:val="0"/>
        </w:rPr>
        <w:tab/>
        <w:tab/>
        <w:tab/>
      </w:r>
    </w:p>
    <w:tbl>
      <w:tblPr>
        <w:tblOverlap w:val="never"/>
        <w:tblLayout w:type="fixed"/>
        <w:jc w:val="center"/>
      </w:tblPr>
      <w:tblGrid>
        <w:gridCol w:w="1819"/>
        <w:gridCol w:w="5054"/>
        <w:gridCol w:w="2923"/>
      </w:tblGrid>
      <w:tr>
        <w:trPr>
          <w:trHeight w:val="312" w:hRule="exact"/>
        </w:trPr>
        <w:tc>
          <w:tcPr>
            <w:shd w:val="clear" w:color="auto" w:fill="FFFFFF"/>
            <w:tcBorders>
              <w:left w:val="single" w:sz="4"/>
              <w:top w:val="single" w:sz="4"/>
            </w:tcBorders>
            <w:vAlign w:val="top"/>
          </w:tcPr>
          <w:p>
            <w:pPr>
              <w:framePr w:w="97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7"/>
              </w:rPr>
              <w:t>Наименование документа</w:t>
            </w:r>
          </w:p>
        </w:tc>
        <w:tc>
          <w:tcPr>
            <w:shd w:val="clear" w:color="auto" w:fill="FFFFFF"/>
            <w:tcBorders>
              <w:left w:val="single" w:sz="4"/>
              <w:righ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7"/>
              </w:rPr>
              <w:t>Кто оформляет</w:t>
            </w:r>
          </w:p>
        </w:tc>
      </w:tr>
      <w:tr>
        <w:trPr>
          <w:trHeight w:val="254" w:hRule="exact"/>
        </w:trPr>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№1</w:t>
            </w:r>
          </w:p>
        </w:tc>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17"/>
              </w:rPr>
              <w:t>Техническое задание</w:t>
            </w:r>
          </w:p>
        </w:tc>
        <w:tc>
          <w:tcPr>
            <w:shd w:val="clear" w:color="auto" w:fill="FFFFFF"/>
            <w:tcBorders>
              <w:left w:val="single" w:sz="4"/>
              <w:righ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7"/>
              </w:rPr>
              <w:t>Муниципальный заказчик</w:t>
            </w:r>
          </w:p>
        </w:tc>
      </w:tr>
      <w:tr>
        <w:trPr>
          <w:trHeight w:val="250" w:hRule="exact"/>
        </w:trPr>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 2</w:t>
            </w:r>
          </w:p>
        </w:tc>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17"/>
              </w:rPr>
              <w:t>Состав проектной документации</w:t>
            </w:r>
          </w:p>
        </w:tc>
        <w:tc>
          <w:tcPr>
            <w:shd w:val="clear" w:color="auto" w:fill="FFFFFF"/>
            <w:tcBorders>
              <w:left w:val="single" w:sz="4"/>
              <w:righ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17"/>
              </w:rPr>
              <w:t>Муниципальный заказчик</w:t>
            </w:r>
          </w:p>
        </w:tc>
      </w:tr>
      <w:tr>
        <w:trPr>
          <w:trHeight w:val="317" w:hRule="exact"/>
        </w:trPr>
        <w:tc>
          <w:tcPr>
            <w:shd w:val="clear" w:color="auto" w:fill="FFFFFF"/>
            <w:tcBorders>
              <w:left w:val="single" w:sz="4"/>
              <w:top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 3</w:t>
            </w:r>
          </w:p>
        </w:tc>
        <w:tc>
          <w:tcPr>
            <w:shd w:val="clear" w:color="auto" w:fill="FFFFFF"/>
            <w:tcBorders>
              <w:left w:val="single" w:sz="4"/>
              <w:top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17"/>
              </w:rPr>
              <w:t>Состав сметной документации</w:t>
            </w:r>
          </w:p>
        </w:tc>
        <w:tc>
          <w:tcPr>
            <w:shd w:val="clear" w:color="auto" w:fill="FFFFFF"/>
            <w:tcBorders>
              <w:left w:val="single" w:sz="4"/>
              <w:right w:val="single" w:sz="4"/>
              <w:top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17"/>
              </w:rPr>
              <w:t>Муниципальный заказчик</w:t>
            </w:r>
          </w:p>
        </w:tc>
      </w:tr>
      <w:tr>
        <w:trPr>
          <w:trHeight w:val="494" w:hRule="exact"/>
        </w:trPr>
        <w:tc>
          <w:tcPr>
            <w:shd w:val="clear" w:color="auto" w:fill="FFFFFF"/>
            <w:tcBorders>
              <w:left w:val="single" w:sz="4"/>
              <w:top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 4</w:t>
            </w:r>
          </w:p>
        </w:tc>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18"/>
              </w:rPr>
              <w:t>График выполнения строительно-монтажных работ</w:t>
            </w:r>
          </w:p>
        </w:tc>
        <w:tc>
          <w:tcPr>
            <w:shd w:val="clear" w:color="auto" w:fill="FFFFFF"/>
            <w:tcBorders>
              <w:left w:val="single" w:sz="4"/>
              <w:right w:val="single" w:sz="4"/>
              <w:top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17"/>
              </w:rPr>
              <w:t>Подрядчик</w:t>
            </w:r>
          </w:p>
        </w:tc>
      </w:tr>
      <w:tr>
        <w:trPr>
          <w:trHeight w:val="283" w:hRule="exact"/>
        </w:trPr>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 5</w:t>
            </w:r>
          </w:p>
        </w:tc>
        <w:tc>
          <w:tcPr>
            <w:shd w:val="clear" w:color="auto" w:fill="FFFFFF"/>
            <w:tcBorders>
              <w:lef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8"/>
              </w:rPr>
              <w:t>Г рафик оплаты выполненных по Контракту работ</w:t>
            </w:r>
          </w:p>
        </w:tc>
        <w:tc>
          <w:tcPr>
            <w:shd w:val="clear" w:color="auto" w:fill="FFFFFF"/>
            <w:tcBorders>
              <w:left w:val="single" w:sz="4"/>
              <w:right w:val="single" w:sz="4"/>
              <w:top w:val="single" w:sz="4"/>
            </w:tcBorders>
            <w:vAlign w:val="bottom"/>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17"/>
              </w:rPr>
              <w:t>Муниципальный заказчик</w:t>
            </w:r>
          </w:p>
        </w:tc>
      </w:tr>
      <w:tr>
        <w:trPr>
          <w:trHeight w:val="509" w:hRule="exact"/>
        </w:trPr>
        <w:tc>
          <w:tcPr>
            <w:shd w:val="clear" w:color="auto" w:fill="FFFFFF"/>
            <w:tcBorders>
              <w:left w:val="single" w:sz="4"/>
              <w:top w:val="single" w:sz="4"/>
              <w:bottom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Приложение № 6</w:t>
            </w:r>
          </w:p>
        </w:tc>
        <w:tc>
          <w:tcPr>
            <w:shd w:val="clear" w:color="auto" w:fill="FFFFFF"/>
            <w:tcBorders>
              <w:left w:val="single" w:sz="4"/>
              <w:top w:val="single" w:sz="4"/>
              <w:bottom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45" w:lineRule="exact"/>
              <w:ind w:left="40" w:right="0" w:firstLine="0"/>
            </w:pPr>
            <w:r>
              <w:rPr>
                <w:rStyle w:val="CharStyle17"/>
              </w:rPr>
              <w:t>Виды и объемы работ которые Подрядчик обязан выполнить самостоятельно</w:t>
            </w:r>
          </w:p>
        </w:tc>
        <w:tc>
          <w:tcPr>
            <w:shd w:val="clear" w:color="auto" w:fill="FFFFFF"/>
            <w:tcBorders>
              <w:left w:val="single" w:sz="4"/>
              <w:right w:val="single" w:sz="4"/>
              <w:top w:val="single" w:sz="4"/>
              <w:bottom w:val="single" w:sz="4"/>
            </w:tcBorders>
            <w:vAlign w:val="top"/>
          </w:tcPr>
          <w:p>
            <w:pPr>
              <w:pStyle w:val="Style9"/>
              <w:framePr w:w="9797"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17"/>
              </w:rPr>
              <w:t>Подрядчик</w:t>
            </w:r>
          </w:p>
        </w:tc>
      </w:tr>
    </w:tbl>
    <w:p>
      <w:pPr>
        <w:widowControl w:val="0"/>
        <w:rPr>
          <w:sz w:val="2"/>
          <w:szCs w:val="2"/>
        </w:rPr>
      </w:pPr>
    </w:p>
    <w:p>
      <w:pPr>
        <w:pStyle w:val="Style9"/>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При этом, Комиссия Управления отмечает, что графики, являющиеся приложением №4 и №5 оформлены Заказчиком в табличной форме, однако в данных графиках отсутствует информация, указание которой обязательно в соответствии с требованиями Приказа Минстроя России от</w:t>
      </w:r>
    </w:p>
    <w:p>
      <w:pPr>
        <w:pStyle w:val="Style9"/>
        <w:numPr>
          <w:ilvl w:val="0"/>
          <w:numId w:val="9"/>
        </w:numPr>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 № 336/пр.</w:t>
      </w:r>
    </w:p>
    <w:p>
      <w:pPr>
        <w:pStyle w:val="Style9"/>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На основании вышеизложенного, Комиссия Управления пришла к выводу о наличии в действиях Заказчика, Уполномоченного органа нарушения частей 5, 6, 7 статьи 110.2 Закона о контрактной системе.</w:t>
      </w:r>
    </w:p>
    <w:p>
      <w:pPr>
        <w:pStyle w:val="Style9"/>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Таким образом, Комиссия Управления пришла к выводу об отсутствии необходимости выдачи обязательного для исполнения предписания об устранении выявленных нарушений, в связи с выданным предписанием по жалобе ООО «МОНОЛИТСТРОЙМОНТАЖ» (ИНН 7811219396, ОГРН 1157847254730) от 11.06.2019 №1039-ж.</w:t>
      </w:r>
    </w:p>
    <w:p>
      <w:pPr>
        <w:pStyle w:val="Style9"/>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Вышеизложенное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95" w:line="274" w:lineRule="exact"/>
        <w:ind w:left="40" w:right="20" w:firstLine="5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88" w:line="230" w:lineRule="exact"/>
        <w:ind w:left="5060" w:right="0" w:firstLine="0"/>
      </w:pPr>
      <w:r>
        <w:rPr>
          <w:lang w:val="ru-RU" w:eastAsia="ru-RU" w:bidi="ru-RU"/>
          <w:w w:val="100"/>
          <w:spacing w:val="0"/>
          <w:color w:val="000000"/>
          <w:position w:val="0"/>
        </w:rPr>
        <w:t>Решила:</w:t>
      </w:r>
    </w:p>
    <w:p>
      <w:pPr>
        <w:pStyle w:val="Style9"/>
        <w:numPr>
          <w:ilvl w:val="0"/>
          <w:numId w:val="11"/>
        </w:numPr>
        <w:tabs>
          <w:tab w:leader="none" w:pos="966" w:val="left"/>
        </w:tabs>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Признать жалобу ООО ”КС-Строй</w:t>
      </w:r>
      <w:r>
        <w:rPr>
          <w:lang w:val="ru-RU" w:eastAsia="ru-RU" w:bidi="ru-RU"/>
          <w:vertAlign w:val="superscript"/>
          <w:w w:val="100"/>
          <w:spacing w:val="0"/>
          <w:color w:val="000000"/>
          <w:position w:val="0"/>
        </w:rPr>
        <w:t>м</w:t>
      </w:r>
      <w:r>
        <w:rPr>
          <w:lang w:val="ru-RU" w:eastAsia="ru-RU" w:bidi="ru-RU"/>
          <w:w w:val="100"/>
          <w:spacing w:val="0"/>
          <w:color w:val="000000"/>
          <w:position w:val="0"/>
        </w:rPr>
        <w:t xml:space="preserve"> (ИНН 2224151930, ОГРН 1122224001404) от</w:t>
      </w:r>
    </w:p>
    <w:p>
      <w:pPr>
        <w:pStyle w:val="Style9"/>
        <w:numPr>
          <w:ilvl w:val="0"/>
          <w:numId w:val="13"/>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№1040-ж на действия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при проведении электронного аукциона, предметом которого является выполнение работ по строительству объекта: "ВОС на 300 куб/сут. в с. Болчары, Кондинского района" (извещение №0187300003519000207) необоснованной.</w:t>
      </w:r>
    </w:p>
    <w:p>
      <w:pPr>
        <w:pStyle w:val="Style9"/>
        <w:numPr>
          <w:ilvl w:val="0"/>
          <w:numId w:val="11"/>
        </w:numPr>
        <w:widowControl w:val="0"/>
        <w:keepNext w:val="0"/>
        <w:keepLines w:val="0"/>
        <w:shd w:val="clear" w:color="auto" w:fill="auto"/>
        <w:bidi w:val="0"/>
        <w:jc w:val="both"/>
        <w:spacing w:before="0" w:after="0" w:line="274" w:lineRule="exact"/>
        <w:ind w:left="0" w:right="20" w:firstLine="580"/>
      </w:pPr>
      <w:r>
        <w:rPr>
          <w:lang w:val="ru-RU" w:eastAsia="ru-RU" w:bidi="ru-RU"/>
          <w:w w:val="100"/>
          <w:spacing w:val="0"/>
          <w:color w:val="000000"/>
          <w:position w:val="0"/>
        </w:rPr>
        <w:t xml:space="preserve"> Признать в действиях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нарушения частей 3 статьи 7 Закона о контрактной системе.</w:t>
      </w:r>
    </w:p>
    <w:p>
      <w:pPr>
        <w:pStyle w:val="Style9"/>
        <w:numPr>
          <w:ilvl w:val="0"/>
          <w:numId w:val="11"/>
        </w:numPr>
        <w:widowControl w:val="0"/>
        <w:keepNext w:val="0"/>
        <w:keepLines w:val="0"/>
        <w:shd w:val="clear" w:color="auto" w:fill="auto"/>
        <w:bidi w:val="0"/>
        <w:jc w:val="both"/>
        <w:spacing w:before="0" w:after="0" w:line="274" w:lineRule="exact"/>
        <w:ind w:left="0" w:right="20" w:firstLine="580"/>
      </w:pPr>
      <w:r>
        <w:rPr>
          <w:lang w:val="ru-RU" w:eastAsia="ru-RU" w:bidi="ru-RU"/>
          <w:w w:val="100"/>
          <w:spacing w:val="0"/>
          <w:color w:val="000000"/>
          <w:position w:val="0"/>
        </w:rPr>
        <w:t xml:space="preserve"> Признать в действиях Заказчика - Муниципального учреждения управление капитального строительства Кондинского района , Уполномоченного органа - Администрации Кондинского района нарушения частей 5, 6, 7 статьи 110.2 Закона о контрактной системе.</w:t>
      </w:r>
    </w:p>
    <w:p>
      <w:pPr>
        <w:pStyle w:val="Style9"/>
        <w:numPr>
          <w:ilvl w:val="0"/>
          <w:numId w:val="11"/>
        </w:numPr>
        <w:widowControl w:val="0"/>
        <w:keepNext w:val="0"/>
        <w:keepLines w:val="0"/>
        <w:shd w:val="clear" w:color="auto" w:fill="auto"/>
        <w:bidi w:val="0"/>
        <w:jc w:val="both"/>
        <w:spacing w:before="0" w:after="0" w:line="274" w:lineRule="exact"/>
        <w:ind w:left="0" w:right="20" w:firstLine="580"/>
      </w:pPr>
      <w:r>
        <w:rPr>
          <w:lang w:val="ru-RU" w:eastAsia="ru-RU" w:bidi="ru-RU"/>
          <w:w w:val="100"/>
          <w:spacing w:val="0"/>
          <w:color w:val="000000"/>
          <w:position w:val="0"/>
        </w:rPr>
        <w:t xml:space="preserve"> Обязательное для исполнения предписание об устранении выявленных нарушений, в связи с выданным предписанием по жалобе ООО «МОНОЛИТСТРОЙМОНТАЖ» (ИНН 7811219396 , ОГРН 1157847254730) от 11.06.2019 №1039-ж..</w:t>
      </w:r>
    </w:p>
    <w:p>
      <w:pPr>
        <w:pStyle w:val="Style9"/>
        <w:numPr>
          <w:ilvl w:val="0"/>
          <w:numId w:val="11"/>
        </w:numPr>
        <w:widowControl w:val="0"/>
        <w:keepNext w:val="0"/>
        <w:keepLines w:val="0"/>
        <w:shd w:val="clear" w:color="auto" w:fill="auto"/>
        <w:bidi w:val="0"/>
        <w:jc w:val="both"/>
        <w:spacing w:before="0" w:after="0" w:line="274" w:lineRule="exact"/>
        <w:ind w:left="0" w:right="20" w:firstLine="580"/>
      </w:pPr>
      <w:r>
        <w:rPr>
          <w:lang w:val="ru-RU" w:eastAsia="ru-RU" w:bidi="ru-RU"/>
          <w:w w:val="100"/>
          <w:spacing w:val="0"/>
          <w:color w:val="000000"/>
          <w:position w:val="0"/>
        </w:rPr>
        <w:t xml:space="preserve"> Передать уполномоченному должностному лицу Ханты-Мансийского У 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9"/>
        <w:numPr>
          <w:ilvl w:val="0"/>
          <w:numId w:val="11"/>
        </w:numPr>
        <w:widowControl w:val="0"/>
        <w:keepNext w:val="0"/>
        <w:keepLines w:val="0"/>
        <w:shd w:val="clear" w:color="auto" w:fill="auto"/>
        <w:bidi w:val="0"/>
        <w:jc w:val="both"/>
        <w:spacing w:before="0" w:after="275" w:line="274" w:lineRule="exact"/>
        <w:ind w:left="0" w:right="20" w:firstLine="58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9"/>
        <w:widowControl w:val="0"/>
        <w:keepNext w:val="0"/>
        <w:keepLines w:val="0"/>
        <w:shd w:val="clear" w:color="auto" w:fill="auto"/>
        <w:bidi w:val="0"/>
        <w:jc w:val="both"/>
        <w:spacing w:before="0" w:after="298" w:line="23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154" w:line="230" w:lineRule="exact"/>
        <w:ind w:left="0" w:right="0" w:firstLine="0"/>
      </w:pPr>
      <w:r>
        <w:rPr>
          <w:lang w:val="ru-RU" w:eastAsia="ru-RU" w:bidi="ru-RU"/>
          <w:w w:val="100"/>
          <w:spacing w:val="0"/>
          <w:color w:val="000000"/>
          <w:position w:val="0"/>
        </w:rPr>
        <w:t>Члены Комиссии:</w:t>
      </w:r>
    </w:p>
    <w:p>
      <w:pPr>
        <w:pStyle w:val="Style19"/>
        <w:tabs>
          <w:tab w:leader="none" w:pos="6038" w:val="right"/>
          <w:tab w:leader="none" w:pos="9485"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Примечание: В соответствии с частью 9 статьи 106 Заь</w:t>
      </w:r>
      <w:r>
        <w:rPr>
          <w:rStyle w:val="CharStyle21"/>
          <w:b/>
          <w:bCs/>
          <w:i w:val="0"/>
          <w:iCs w:val="0"/>
        </w:rPr>
        <w:tab/>
        <w:t>,</w:t>
        <w:tab/>
      </w:r>
      <w:r>
        <w:rPr>
          <w:lang w:val="ru-RU" w:eastAsia="ru-RU" w:bidi="ru-RU"/>
          <w:w w:val="100"/>
          <w:spacing w:val="0"/>
          <w:color w:val="000000"/>
          <w:position w:val="0"/>
        </w:rPr>
        <w:t>юй системе решение, принятое по</w:t>
      </w:r>
    </w:p>
    <w:p>
      <w:pPr>
        <w:pStyle w:val="Style1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1597" w:left="802" w:right="778" w:bottom="7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5.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18"/>
      <w:numFmt w:val="decimal"/>
      <w:lvlText w:val="05.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19"/>
      <w:numFmt w:val="decimal"/>
      <w:lvlText w:val="11.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en-US" w:eastAsia="en-US" w:bidi="en-US"/>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w w:val="100"/>
      <w:spacing w:val="0"/>
      <w:color w:val="000000"/>
      <w:position w:val="0"/>
    </w:rPr>
  </w:style>
  <w:style w:type="character" w:customStyle="1" w:styleId="CharStyle12">
    <w:name w:val="Основной текст + 15 pt,Курсив,Интервал 0 pt"/>
    <w:basedOn w:val="CharStyle10"/>
    <w:rPr>
      <w:lang w:val="ru-RU" w:eastAsia="ru-RU" w:bidi="ru-RU"/>
      <w:i/>
      <w:iCs/>
      <w:u w:val="single"/>
      <w:sz w:val="30"/>
      <w:szCs w:val="30"/>
      <w:w w:val="100"/>
      <w:spacing w:val="10"/>
      <w:color w:val="000000"/>
      <w:position w:val="0"/>
    </w:rPr>
  </w:style>
  <w:style w:type="character" w:customStyle="1" w:styleId="CharStyle13">
    <w:name w:val="Основной текст + Полужирный"/>
    <w:basedOn w:val="CharStyle10"/>
    <w:rPr>
      <w:lang w:val="ru-RU" w:eastAsia="ru-RU" w:bidi="ru-RU"/>
      <w:b/>
      <w:bCs/>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 Полужирный"/>
    <w:basedOn w:val="CharStyle10"/>
    <w:rPr>
      <w:lang w:val="ru-RU" w:eastAsia="ru-RU" w:bidi="ru-RU"/>
      <w:b/>
      <w:bCs/>
      <w:w w:val="100"/>
      <w:spacing w:val="0"/>
      <w:color w:val="000000"/>
      <w:position w:val="0"/>
    </w:rPr>
  </w:style>
  <w:style w:type="character" w:customStyle="1" w:styleId="CharStyle16">
    <w:name w:val="Основной текст + Tahoma,10 pt,Полужирный"/>
    <w:basedOn w:val="CharStyle10"/>
    <w:rPr>
      <w:lang w:val="ru-RU" w:eastAsia="ru-RU" w:bidi="ru-RU"/>
      <w:b/>
      <w:bCs/>
      <w:sz w:val="20"/>
      <w:szCs w:val="20"/>
      <w:rFonts w:ascii="Tahoma" w:eastAsia="Tahoma" w:hAnsi="Tahoma" w:cs="Tahoma"/>
      <w:w w:val="100"/>
      <w:spacing w:val="0"/>
      <w:color w:val="000000"/>
      <w:position w:val="0"/>
    </w:rPr>
  </w:style>
  <w:style w:type="character" w:customStyle="1" w:styleId="CharStyle17">
    <w:name w:val="Основной текст + 10 pt"/>
    <w:basedOn w:val="CharStyle10"/>
    <w:rPr>
      <w:lang w:val="ru-RU" w:eastAsia="ru-RU" w:bidi="ru-RU"/>
      <w:sz w:val="20"/>
      <w:szCs w:val="20"/>
      <w:w w:val="100"/>
      <w:spacing w:val="0"/>
      <w:color w:val="000000"/>
      <w:position w:val="0"/>
    </w:rPr>
  </w:style>
  <w:style w:type="character" w:customStyle="1" w:styleId="CharStyle18">
    <w:name w:val="Основной текст + 10 pt,Полужирный"/>
    <w:basedOn w:val="CharStyle10"/>
    <w:rPr>
      <w:lang w:val="ru-RU" w:eastAsia="ru-RU" w:bidi="ru-RU"/>
      <w:b/>
      <w:bCs/>
      <w:sz w:val="20"/>
      <w:szCs w:val="20"/>
      <w:w w:val="100"/>
      <w:spacing w:val="0"/>
      <w:color w:val="000000"/>
      <w:position w:val="0"/>
    </w:rPr>
  </w:style>
  <w:style w:type="character" w:customStyle="1" w:styleId="CharStyle20">
    <w:name w:val="Основной текст (4)_"/>
    <w:basedOn w:val="DefaultParagraphFont"/>
    <w:link w:val="Style19"/>
    <w:rPr>
      <w:b/>
      <w:bCs/>
      <w:i/>
      <w:iCs/>
      <w:u w:val="none"/>
      <w:strike w:val="0"/>
      <w:smallCaps w:val="0"/>
      <w:sz w:val="19"/>
      <w:szCs w:val="19"/>
      <w:rFonts w:ascii="Times New Roman" w:eastAsia="Times New Roman" w:hAnsi="Times New Roman" w:cs="Times New Roman"/>
    </w:rPr>
  </w:style>
  <w:style w:type="character" w:customStyle="1" w:styleId="CharStyle21">
    <w:name w:val="Основной текст (4) + 12 pt,Не курсив"/>
    <w:basedOn w:val="CharStyle20"/>
    <w:rPr>
      <w:lang w:val="ru-RU" w:eastAsia="ru-RU" w:bidi="ru-RU"/>
      <w:i/>
      <w:i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before="240" w:line="230" w:lineRule="exact"/>
    </w:pPr>
    <w:rPr>
      <w:b/>
      <w:bCs/>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