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2240" w:right="0" w:firstLine="0"/>
      </w:pPr>
      <w:r>
        <w:rPr>
          <w:lang w:val="ru-RU" w:eastAsia="ru-RU" w:bidi="ru-RU"/>
          <w:w w:val="100"/>
          <w:spacing w:val="0"/>
          <w:color w:val="000000"/>
          <w:position w:val="0"/>
        </w:rPr>
        <w:t>Оператор электронной площадки:</w:t>
      </w:r>
    </w:p>
    <w:p>
      <w:pPr>
        <w:pStyle w:val="Style9"/>
        <w:widowControl w:val="0"/>
        <w:keepNext w:val="0"/>
        <w:keepLines w:val="0"/>
        <w:shd w:val="clear" w:color="auto" w:fill="auto"/>
        <w:bidi w:val="0"/>
        <w:spacing w:before="0" w:after="0"/>
        <w:ind w:left="2240" w:right="0" w:firstLine="0"/>
      </w:pPr>
      <w:r>
        <w:rPr>
          <w:lang w:val="ru-RU" w:eastAsia="ru-RU" w:bidi="ru-RU"/>
          <w:w w:val="100"/>
          <w:spacing w:val="0"/>
          <w:color w:val="000000"/>
          <w:position w:val="0"/>
        </w:rPr>
        <w:t>ЗАО "Сбербанк</w:t>
      </w:r>
      <w:r>
        <w:rPr>
          <w:lang w:val="en-US" w:eastAsia="en-US" w:bidi="en-US"/>
          <w:w w:val="100"/>
          <w:spacing w:val="0"/>
          <w:color w:val="000000"/>
          <w:position w:val="0"/>
        </w:rPr>
        <w:t>-ACT"</w:t>
      </w:r>
    </w:p>
    <w:p>
      <w:pPr>
        <w:pStyle w:val="Style3"/>
        <w:framePr w:w="4088" w:h="2689" w:wrap="around" w:vAnchor="text" w:hAnchor="margin" w:x="460" w:y="487"/>
        <w:widowControl w:val="0"/>
        <w:keepNext w:val="0"/>
        <w:keepLines w:val="0"/>
        <w:shd w:val="clear" w:color="auto" w:fill="auto"/>
        <w:bidi w:val="0"/>
        <w:jc w:val="center"/>
        <w:spacing w:before="0" w:after="0" w:line="293" w:lineRule="exact"/>
        <w:ind w:left="40" w:right="0" w:firstLine="0"/>
      </w:pPr>
      <w:r>
        <w:rPr>
          <w:rStyle w:val="CharStyle4"/>
          <w:b/>
          <w:bCs/>
          <w:spacing w:val="0"/>
        </w:rPr>
        <w:t xml:space="preserve">ФЕДЕРАЛЬНАЯ АНТИМОНОПОЛЬНАЯ СЛУЖБА </w:t>
      </w:r>
      <w:r>
        <w:rPr>
          <w:rStyle w:val="CharStyle5"/>
          <w:b/>
          <w:bCs/>
          <w:spacing w:val="0"/>
        </w:rPr>
        <w:t>УПРАВЛЕНИЕ</w:t>
      </w:r>
    </w:p>
    <w:p>
      <w:pPr>
        <w:pStyle w:val="Style3"/>
        <w:framePr w:w="4088" w:h="2689" w:wrap="around" w:vAnchor="text" w:hAnchor="margin" w:x="460" w:y="487"/>
        <w:widowControl w:val="0"/>
        <w:keepNext w:val="0"/>
        <w:keepLines w:val="0"/>
        <w:shd w:val="clear" w:color="auto" w:fill="auto"/>
        <w:bidi w:val="0"/>
        <w:jc w:val="center"/>
        <w:spacing w:before="0" w:after="0"/>
        <w:ind w:left="40" w:right="0" w:firstLine="0"/>
      </w:pPr>
      <w:r>
        <w:rPr>
          <w:rStyle w:val="CharStyle4"/>
          <w:b/>
          <w:bCs/>
          <w:spacing w:val="0"/>
        </w:rPr>
        <w:t>Федеральной антимонопольной службы по Ханты-Мансийскому автономному округу - Югре</w:t>
      </w:r>
    </w:p>
    <w:p>
      <w:pPr>
        <w:pStyle w:val="Style6"/>
        <w:framePr w:w="4088" w:h="2689" w:wrap="around" w:vAnchor="text" w:hAnchor="margin" w:x="460" w:y="48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ул. Мира, 27, г. Ханты-Мансийск, 628002 тел. (3467)38-80-81 </w:t>
      </w:r>
      <w:r>
        <w:rPr>
          <w:lang w:val="en-US" w:eastAsia="en-US" w:bidi="en-US"/>
          <w:w w:val="100"/>
          <w:spacing w:val="0"/>
          <w:color w:val="000000"/>
          <w:position w:val="0"/>
        </w:rPr>
        <w:t xml:space="preserve">e-mail: </w:t>
      </w:r>
      <w:r>
        <w:fldChar w:fldCharType="begin"/>
      </w:r>
      <w:r>
        <w:rPr>
          <w:rStyle w:val="CharStyle8"/>
        </w:rPr>
        <w:instrText> HYPERLINK "mailto:to86@fas.gov.ru" </w:instrText>
      </w:r>
      <w:r>
        <w:fldChar w:fldCharType="separate"/>
      </w:r>
      <w:r>
        <w:rPr>
          <w:rStyle w:val="Hyperlink"/>
          <w:spacing w:val="0"/>
        </w:rPr>
        <w:t>to86@fas.gov.ru</w:t>
      </w:r>
      <w:r>
        <w:fldChar w:fldCharType="end"/>
      </w:r>
    </w:p>
    <w:p>
      <w:pPr>
        <w:pStyle w:val="Style9"/>
        <w:widowControl w:val="0"/>
        <w:keepNext w:val="0"/>
        <w:keepLines w:val="0"/>
        <w:shd w:val="clear" w:color="auto" w:fill="auto"/>
        <w:bidi w:val="0"/>
        <w:spacing w:before="0" w:after="0"/>
        <w:ind w:left="2240" w:right="0" w:firstLine="0"/>
      </w:pPr>
      <w:r>
        <w:rPr>
          <w:lang w:val="ru-RU" w:eastAsia="ru-RU" w:bidi="ru-RU"/>
          <w:w w:val="100"/>
          <w:spacing w:val="0"/>
          <w:color w:val="000000"/>
          <w:position w:val="0"/>
        </w:rPr>
        <w:t>119435, г. Москва, Большой Саввинский переулок, д. 12, стр.9</w:t>
      </w:r>
    </w:p>
    <w:p>
      <w:pPr>
        <w:pStyle w:val="Style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тел.: (495) 7872999/97 доб. 369, Факс: (495) 7872998</w:t>
      </w:r>
    </w:p>
    <w:p>
      <w:pPr>
        <w:pStyle w:val="Style9"/>
        <w:widowControl w:val="0"/>
        <w:keepNext w:val="0"/>
        <w:keepLines w:val="0"/>
        <w:shd w:val="clear" w:color="auto" w:fill="auto"/>
        <w:bidi w:val="0"/>
        <w:spacing w:before="0" w:after="0"/>
        <w:ind w:left="20" w:right="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6"/>
        </w:rPr>
        <w:t>Заявитель:</w:t>
      </w:r>
    </w:p>
    <w:p>
      <w:pPr>
        <w:pStyle w:val="Style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ООО «МОНОЛИТСТРОЙМОНТАЖ»</w:t>
      </w:r>
    </w:p>
    <w:p>
      <w:pPr>
        <w:pStyle w:val="Style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195027, г. Санкт-Петербург, пр. Металлистов, 7, лит. А, оф. 414 тел: +7 (911) 119 1403 </w:t>
      </w:r>
      <w:r>
        <w:rPr>
          <w:lang w:val="en-US" w:eastAsia="en-US" w:bidi="en-US"/>
          <w:w w:val="100"/>
          <w:spacing w:val="0"/>
          <w:color w:val="000000"/>
          <w:position w:val="0"/>
        </w:rPr>
        <w:t xml:space="preserve">e-mail: </w:t>
      </w:r>
      <w:r>
        <w:fldChar w:fldCharType="begin"/>
      </w:r>
      <w:r>
        <w:rPr>
          <w:color w:val="000000"/>
        </w:rPr>
        <w:instrText> HYPERLINK "mailto:ms-montazh@inbox.ru" </w:instrText>
      </w:r>
      <w:r>
        <w:fldChar w:fldCharType="separate"/>
      </w:r>
      <w:r>
        <w:rPr>
          <w:rStyle w:val="Hyperlink"/>
          <w:lang w:val="en-US" w:eastAsia="en-US" w:bidi="en-US"/>
          <w:w w:val="100"/>
          <w:spacing w:val="0"/>
          <w:position w:val="0"/>
        </w:rPr>
        <w:t>ms-montazh@inbox.ru</w:t>
      </w:r>
      <w:r>
        <w:fldChar w:fldCharType="end"/>
      </w:r>
      <w:r>
        <w:rPr>
          <w:lang w:val="en-US" w:eastAsia="en-US" w:bidi="en-US"/>
          <w:w w:val="100"/>
          <w:spacing w:val="0"/>
          <w:color w:val="000000"/>
          <w:position w:val="0"/>
        </w:rPr>
        <w:t xml:space="preserve"> </w:t>
      </w:r>
      <w:r>
        <w:rPr>
          <w:rStyle w:val="CharStyle16"/>
        </w:rPr>
        <w:t>Заказчик:</w:t>
      </w:r>
    </w:p>
    <w:p>
      <w:pPr>
        <w:pStyle w:val="Style9"/>
        <w:framePr w:h="213" w:wrap="around" w:vAnchor="text" w:hAnchor="margin" w:x="1718" w:y="131"/>
        <w:widowControl w:val="0"/>
        <w:keepNext w:val="0"/>
        <w:keepLines w:val="0"/>
        <w:shd w:val="clear" w:color="auto" w:fill="auto"/>
        <w:bidi w:val="0"/>
        <w:jc w:val="left"/>
        <w:spacing w:before="0" w:after="0" w:line="200" w:lineRule="exact"/>
        <w:ind w:left="100" w:right="0" w:firstLine="0"/>
      </w:pPr>
      <w:r>
        <w:rPr>
          <w:rStyle w:val="CharStyle10"/>
          <w:spacing w:val="0"/>
        </w:rPr>
        <w:t>.2019 № 03/КА-</w:t>
      </w:r>
    </w:p>
    <w:p>
      <w:pPr>
        <w:pStyle w:val="Style9"/>
        <w:widowControl w:val="0"/>
        <w:keepNext w:val="0"/>
        <w:keepLines w:val="0"/>
        <w:shd w:val="clear" w:color="auto" w:fill="auto"/>
        <w:bidi w:val="0"/>
        <w:jc w:val="left"/>
        <w:spacing w:before="0" w:after="0"/>
        <w:ind w:left="1580" w:right="0" w:firstLine="0"/>
      </w:pPr>
      <w:r>
        <w:rPr>
          <w:lang w:val="ru-RU" w:eastAsia="ru-RU" w:bidi="ru-RU"/>
          <w:w w:val="100"/>
          <w:spacing w:val="0"/>
          <w:color w:val="000000"/>
          <w:position w:val="0"/>
        </w:rPr>
        <w:t>Муниципальное учреждение управление капитального строительства Кондинского района</w:t>
      </w:r>
    </w:p>
    <w:p>
      <w:pPr>
        <w:pStyle w:val="Style9"/>
        <w:widowControl w:val="0"/>
        <w:keepNext w:val="0"/>
        <w:keepLines w:val="0"/>
        <w:shd w:val="clear" w:color="auto" w:fill="auto"/>
        <w:bidi w:val="0"/>
        <w:jc w:val="left"/>
        <w:spacing w:before="0" w:after="0"/>
        <w:ind w:left="5080" w:right="360" w:firstLine="0"/>
      </w:pPr>
      <w:r>
        <w:rPr>
          <w:lang w:val="ru-RU" w:eastAsia="ru-RU" w:bidi="ru-RU"/>
          <w:w w:val="100"/>
          <w:spacing w:val="0"/>
          <w:color w:val="000000"/>
          <w:position w:val="0"/>
        </w:rPr>
        <w:t xml:space="preserve">628200, Ханты-Мансийский автономный округ - Югра, Кондинский р-н, пгт. Междуреченский, ул. Титова, д. 14 «А» тел: 7 (34677) 34-308 </w:t>
      </w:r>
      <w:r>
        <w:rPr>
          <w:rStyle w:val="CharStyle17"/>
          <w:lang w:val="en-US" w:eastAsia="en-US" w:bidi="en-US"/>
        </w:rPr>
        <w:t>e-mail</w:t>
      </w:r>
      <w:r>
        <w:rPr>
          <w:lang w:val="en-US" w:eastAsia="en-US" w:bidi="en-US"/>
          <w:w w:val="100"/>
          <w:spacing w:val="0"/>
          <w:color w:val="000000"/>
          <w:position w:val="0"/>
        </w:rPr>
        <w:t xml:space="preserve">: </w:t>
      </w:r>
      <w:r>
        <w:fldChar w:fldCharType="begin"/>
      </w:r>
      <w:r>
        <w:rPr>
          <w:color w:val="000000"/>
        </w:rPr>
        <w:instrText> HYPERLINK "mailto:uks@admkonda.ru" </w:instrText>
      </w:r>
      <w:r>
        <w:fldChar w:fldCharType="separate"/>
      </w:r>
      <w:r>
        <w:rPr>
          <w:rStyle w:val="Hyperlink"/>
          <w:lang w:val="en-US" w:eastAsia="en-US" w:bidi="en-US"/>
          <w:w w:val="100"/>
          <w:spacing w:val="0"/>
          <w:position w:val="0"/>
        </w:rPr>
        <w:t>uks@admkonda.ru</w:t>
      </w:r>
      <w:r>
        <w:fldChar w:fldCharType="end"/>
      </w:r>
      <w:r>
        <w:rPr>
          <w:lang w:val="en-US" w:eastAsia="en-US" w:bidi="en-US"/>
          <w:w w:val="100"/>
          <w:spacing w:val="0"/>
          <w:color w:val="000000"/>
          <w:position w:val="0"/>
        </w:rPr>
        <w:t xml:space="preserve"> </w:t>
      </w:r>
      <w:r>
        <w:rPr>
          <w:rStyle w:val="CharStyle16"/>
        </w:rPr>
        <w:t>Уполномоченный орган:</w:t>
      </w:r>
    </w:p>
    <w:p>
      <w:pPr>
        <w:pStyle w:val="Style9"/>
        <w:widowControl w:val="0"/>
        <w:keepNext w:val="0"/>
        <w:keepLines w:val="0"/>
        <w:shd w:val="clear" w:color="auto" w:fill="auto"/>
        <w:bidi w:val="0"/>
        <w:jc w:val="left"/>
        <w:spacing w:before="0" w:after="275"/>
        <w:ind w:left="5080" w:right="360" w:firstLine="0"/>
      </w:pPr>
      <w:r>
        <w:rPr>
          <w:lang w:val="ru-RU" w:eastAsia="ru-RU" w:bidi="ru-RU"/>
          <w:w w:val="100"/>
          <w:spacing w:val="0"/>
          <w:color w:val="000000"/>
          <w:position w:val="0"/>
        </w:rPr>
        <w:t xml:space="preserve">Администрации Кондинского района 628200, Ханты-Мансийский автономный округ - Югра, Кондинский р-н, пгт.Междуреченский, ул.Титова, д. 21 тел: 8 (34677) 32-731 </w:t>
      </w:r>
      <w:r>
        <w:rPr>
          <w:lang w:val="en-US" w:eastAsia="en-US" w:bidi="en-US"/>
          <w:w w:val="100"/>
          <w:spacing w:val="0"/>
          <w:color w:val="000000"/>
          <w:position w:val="0"/>
        </w:rPr>
        <w:t>e-mail:</w:t>
      </w:r>
      <w:r>
        <w:fldChar w:fldCharType="begin"/>
      </w:r>
      <w:r>
        <w:rPr>
          <w:color w:val="000000"/>
        </w:rPr>
        <w:instrText> HYPERLINK "mailto:_zakupki@admkonda.ru" </w:instrText>
      </w:r>
      <w:r>
        <w:fldChar w:fldCharType="separate"/>
      </w:r>
      <w:r>
        <w:rPr>
          <w:rStyle w:val="Hyperlink"/>
          <w:lang w:val="en-US" w:eastAsia="en-US" w:bidi="en-US"/>
          <w:w w:val="100"/>
          <w:spacing w:val="0"/>
          <w:position w:val="0"/>
        </w:rPr>
        <w:t>_zakupki@admkonda.ru</w:t>
      </w:r>
      <w:r>
        <w:fldChar w:fldCharType="end"/>
      </w:r>
    </w:p>
    <w:p>
      <w:pPr>
        <w:pStyle w:val="Style3"/>
        <w:widowControl w:val="0"/>
        <w:keepNext w:val="0"/>
        <w:keepLines w:val="0"/>
        <w:shd w:val="clear" w:color="auto" w:fill="auto"/>
        <w:bidi w:val="0"/>
        <w:jc w:val="center"/>
        <w:spacing w:before="0" w:after="208" w:line="230" w:lineRule="exact"/>
        <w:ind w:left="160" w:right="0" w:firstLine="0"/>
      </w:pPr>
      <w:r>
        <w:rPr>
          <w:lang w:val="ru-RU" w:eastAsia="ru-RU" w:bidi="ru-RU"/>
          <w:w w:val="100"/>
          <w:spacing w:val="0"/>
          <w:color w:val="000000"/>
          <w:position w:val="0"/>
        </w:rPr>
        <w:t>РЕШЕНИЕ</w:t>
      </w:r>
    </w:p>
    <w:p>
      <w:pPr>
        <w:pStyle w:val="Style9"/>
        <w:tabs>
          <w:tab w:leader="none" w:pos="7806" w:val="right"/>
          <w:tab w:leader="none" w:pos="7982"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Резолютивная часть объявлена 19.06.2019</w:t>
        <w:tab/>
        <w:t>г.</w:t>
        <w:tab/>
        <w:t>Ханты-Мансийск</w:t>
      </w:r>
    </w:p>
    <w:p>
      <w:pPr>
        <w:pStyle w:val="Style9"/>
        <w:widowControl w:val="0"/>
        <w:keepNext w:val="0"/>
        <w:keepLines w:val="0"/>
        <w:shd w:val="clear" w:color="auto" w:fill="auto"/>
        <w:bidi w:val="0"/>
        <w:spacing w:before="0" w:after="244"/>
        <w:ind w:left="20" w:right="0" w:firstLine="0"/>
      </w:pPr>
      <w:r>
        <w:rPr>
          <w:lang w:val="ru-RU" w:eastAsia="ru-RU" w:bidi="ru-RU"/>
          <w:w w:val="100"/>
          <w:spacing w:val="0"/>
          <w:color w:val="000000"/>
          <w:position w:val="0"/>
        </w:rPr>
        <w:t>Изготовлено в полном объеме 21.06.2019</w:t>
      </w:r>
    </w:p>
    <w:p>
      <w:pPr>
        <w:pStyle w:val="Style9"/>
        <w:widowControl w:val="0"/>
        <w:keepNext w:val="0"/>
        <w:keepLines w:val="0"/>
        <w:shd w:val="clear" w:color="auto" w:fill="auto"/>
        <w:bidi w:val="0"/>
        <w:spacing w:before="0" w:after="0" w:line="269" w:lineRule="exact"/>
        <w:ind w:left="20" w:right="280" w:firstLine="56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(размещения заказов) товаров, работ, услуг для обеспечения государственных и муниципальных нужд в составе:</w:t>
      </w:r>
    </w:p>
    <w:p>
      <w:pPr>
        <w:pStyle w:val="Style9"/>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Председателя комиссии:</w:t>
      </w:r>
    </w:p>
    <w:p>
      <w:pPr>
        <w:pStyle w:val="Style9"/>
        <w:numPr>
          <w:ilvl w:val="0"/>
          <w:numId w:val="1"/>
        </w:numPr>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 xml:space="preserve"> Иванов В.П. - Заместитель руководителя Управления;</w:t>
      </w:r>
    </w:p>
    <w:p>
      <w:pPr>
        <w:pStyle w:val="Style9"/>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Членов комиссии:</w:t>
      </w:r>
    </w:p>
    <w:p>
      <w:pPr>
        <w:pStyle w:val="Style9"/>
        <w:numPr>
          <w:ilvl w:val="0"/>
          <w:numId w:val="1"/>
        </w:numPr>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 xml:space="preserve"> Капаклы А.Д. - Старший государственный инспектор отдела Управления;</w:t>
      </w:r>
    </w:p>
    <w:p>
      <w:pPr>
        <w:pStyle w:val="Style9"/>
        <w:numPr>
          <w:ilvl w:val="0"/>
          <w:numId w:val="1"/>
        </w:numPr>
        <w:widowControl w:val="0"/>
        <w:keepNext w:val="0"/>
        <w:keepLines w:val="0"/>
        <w:shd w:val="clear" w:color="auto" w:fill="auto"/>
        <w:bidi w:val="0"/>
        <w:spacing w:before="0" w:after="240"/>
        <w:ind w:left="20" w:right="0" w:firstLine="560"/>
      </w:pPr>
      <w:r>
        <w:rPr>
          <w:lang w:val="ru-RU" w:eastAsia="ru-RU" w:bidi="ru-RU"/>
          <w:w w:val="100"/>
          <w:spacing w:val="0"/>
          <w:color w:val="000000"/>
          <w:position w:val="0"/>
        </w:rPr>
        <w:t xml:space="preserve"> Тохтахунов О.Х. - Старший государственный инспектор отдела Управления.</w:t>
      </w:r>
    </w:p>
    <w:p>
      <w:pPr>
        <w:pStyle w:val="Style9"/>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от Заявителя - не явились, уведомлены надлежащим образом;</w:t>
      </w:r>
    </w:p>
    <w:p>
      <w:pPr>
        <w:pStyle w:val="Style9"/>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от Заказчика - Меньшиков М.В. по доверенности №1 от 01.08.2018;</w:t>
      </w:r>
    </w:p>
    <w:p>
      <w:pPr>
        <w:pStyle w:val="Style9"/>
        <w:widowControl w:val="0"/>
        <w:keepNext w:val="0"/>
        <w:keepLines w:val="0"/>
        <w:shd w:val="clear" w:color="auto" w:fill="auto"/>
        <w:bidi w:val="0"/>
        <w:spacing w:before="0" w:after="240"/>
        <w:ind w:left="20" w:right="0" w:firstLine="560"/>
      </w:pPr>
      <w:r>
        <w:rPr>
          <w:lang w:val="ru-RU" w:eastAsia="ru-RU" w:bidi="ru-RU"/>
          <w:w w:val="100"/>
          <w:spacing w:val="0"/>
          <w:color w:val="000000"/>
          <w:position w:val="0"/>
        </w:rPr>
        <w:t>от Уполномоченного органа - не явились, уведомлены надлежащим образом.</w:t>
      </w:r>
    </w:p>
    <w:p>
      <w:pPr>
        <w:pStyle w:val="Style9"/>
        <w:widowControl w:val="0"/>
        <w:keepNext w:val="0"/>
        <w:keepLines w:val="0"/>
        <w:shd w:val="clear" w:color="auto" w:fill="auto"/>
        <w:bidi w:val="0"/>
        <w:spacing w:before="0" w:after="0"/>
        <w:ind w:left="20" w:right="280" w:firstLine="560"/>
      </w:pPr>
      <w:r>
        <w:rPr>
          <w:lang w:val="ru-RU" w:eastAsia="ru-RU" w:bidi="ru-RU"/>
          <w:w w:val="100"/>
          <w:spacing w:val="0"/>
          <w:color w:val="000000"/>
          <w:position w:val="0"/>
        </w:rPr>
        <w:t>Рассмотрев жалобу ООО «МОНОЛИТСТРОЙМОНТАЖ» (ИНН 7811219396 , ОГРН 1157847254730) от 11.06.2019 №1038-ж на действия Заказчика - Муниципального учреждения управление капитального строительства Кондинского района , Уполномоченного органа -</w:t>
      </w:r>
      <w:r>
        <w:br w:type="page"/>
      </w:r>
    </w:p>
    <w:p>
      <w:pPr>
        <w:pStyle w:val="Style9"/>
        <w:widowControl w:val="0"/>
        <w:keepNext w:val="0"/>
        <w:keepLines w:val="0"/>
        <w:shd w:val="clear" w:color="auto" w:fill="auto"/>
        <w:bidi w:val="0"/>
        <w:spacing w:before="0" w:after="95"/>
        <w:ind w:left="40" w:right="40" w:firstLine="0"/>
      </w:pPr>
      <w:r>
        <w:rPr>
          <w:lang w:val="ru-RU" w:eastAsia="ru-RU" w:bidi="ru-RU"/>
          <w:w w:val="100"/>
          <w:spacing w:val="0"/>
          <w:color w:val="000000"/>
          <w:position w:val="0"/>
        </w:rPr>
        <w:t xml:space="preserve">Администрации Кондинского района, при проведении электронного аукциона, предметом которого является выполнение работ по строительству объекта: «ВОС на 200 мЗ/сут. в с. Леуши Кондинского района Ханты-Мансийского автономного округа -Югры» (извещение №0187300003519000205),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8"/>
        <w:widowControl w:val="0"/>
        <w:keepNext/>
        <w:keepLines/>
        <w:shd w:val="clear" w:color="auto" w:fill="auto"/>
        <w:bidi w:val="0"/>
        <w:spacing w:before="0" w:after="88" w:line="230" w:lineRule="exact"/>
        <w:ind w:left="20" w:right="0" w:firstLine="0"/>
      </w:pPr>
      <w:bookmarkStart w:id="0" w:name="bookmark0"/>
      <w:r>
        <w:rPr>
          <w:lang w:val="ru-RU" w:eastAsia="ru-RU" w:bidi="ru-RU"/>
          <w:w w:val="100"/>
          <w:spacing w:val="0"/>
          <w:color w:val="000000"/>
          <w:position w:val="0"/>
        </w:rPr>
        <w:t>установила:</w:t>
      </w:r>
      <w:bookmarkEnd w:id="0"/>
    </w:p>
    <w:p>
      <w:pPr>
        <w:pStyle w:val="Style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«МОНОЛИТСТРОЙМОНТАЖ» (далее - Заявитель) на действия Заказчика, Уполномоченного органа при проведении электронного аукциона.</w:t>
      </w:r>
    </w:p>
    <w:p>
      <w:pPr>
        <w:pStyle w:val="Style9"/>
        <w:widowControl w:val="0"/>
        <w:keepNext w:val="0"/>
        <w:keepLines w:val="0"/>
        <w:shd w:val="clear" w:color="auto" w:fill="auto"/>
        <w:bidi w:val="0"/>
        <w:spacing w:before="0" w:after="0"/>
        <w:ind w:left="40" w:right="0" w:firstLine="580"/>
      </w:pPr>
      <w:r>
        <w:rPr>
          <w:lang w:val="ru-RU" w:eastAsia="ru-RU" w:bidi="ru-RU"/>
          <w:w w:val="100"/>
          <w:spacing w:val="0"/>
          <w:color w:val="000000"/>
          <w:position w:val="0"/>
        </w:rPr>
        <w:t>Заявитель в жалобе указал следующее:</w:t>
      </w:r>
    </w:p>
    <w:p>
      <w:pPr>
        <w:pStyle w:val="Style9"/>
        <w:numPr>
          <w:ilvl w:val="0"/>
          <w:numId w:val="3"/>
        </w:numPr>
        <w:tabs>
          <w:tab w:leader="none" w:pos="914" w:val="left"/>
        </w:tabs>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В п. 18 раздела 1 документации об ЭА заказчиком установлено дополнительное требование</w:t>
      </w:r>
    </w:p>
    <w:p>
      <w:pPr>
        <w:pStyle w:val="Style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 xml:space="preserve">«Установлено, в соответствии с требованием п. 3 ч.2 ст. 31 Закона 44-ФЗ и постановлением Правительства Российской Федерации от 04.02.2015 </w:t>
      </w:r>
      <w:r>
        <w:rPr>
          <w:lang w:val="en-US" w:eastAsia="en-US" w:bidi="en-US"/>
          <w:w w:val="100"/>
          <w:spacing w:val="0"/>
          <w:color w:val="000000"/>
          <w:position w:val="0"/>
        </w:rPr>
        <w:t xml:space="preserve">N </w:t>
      </w:r>
      <w:r>
        <w:rPr>
          <w:lang w:val="ru-RU" w:eastAsia="ru-RU" w:bidi="ru-RU"/>
          <w:w w:val="100"/>
          <w:spacing w:val="0"/>
          <w:color w:val="000000"/>
          <w:position w:val="0"/>
        </w:rPr>
        <w:t>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pPr>
        <w:pStyle w:val="Style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 Наличие опыта исполнения (с учетом правопреемства) одного контракта (договора) на выполнение работ по строительству, реконструкции и капитальному ремонту объектов капитального строительства за последние 3 года до даты подачи заявки на участие в закупке. При этом стоимость такого исполненного контракта (договора) должна составлять не менее 50 процентов начальной (максимальной) цены контракта, договора (цены лота) (не менее 32 285</w:t>
      </w:r>
    </w:p>
    <w:p>
      <w:pPr>
        <w:pStyle w:val="Style9"/>
        <w:numPr>
          <w:ilvl w:val="0"/>
          <w:numId w:val="5"/>
        </w:numPr>
        <w:tabs>
          <w:tab w:leader="none" w:pos="909" w:val="left"/>
        </w:tabs>
        <w:widowControl w:val="0"/>
        <w:keepNext w:val="0"/>
        <w:keepLines w:val="0"/>
        <w:shd w:val="clear" w:color="auto" w:fill="auto"/>
        <w:bidi w:val="0"/>
        <w:spacing w:before="0" w:after="0"/>
        <w:ind w:left="40" w:right="40" w:firstLine="0"/>
      </w:pPr>
      <w:r>
        <w:rPr>
          <w:lang w:val="ru-RU" w:eastAsia="ru-RU" w:bidi="ru-RU"/>
          <w:w w:val="100"/>
          <w:spacing w:val="0"/>
          <w:color w:val="000000"/>
          <w:position w:val="0"/>
        </w:rPr>
        <w:t>(тридцать два миллиона двести восемьдесят пять тысяч шестьсот семьдесят пять рублей 00 копеек) на право заключить который проводится закупка».</w:t>
      </w:r>
    </w:p>
    <w:p>
      <w:pPr>
        <w:pStyle w:val="Style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Поскольку предметом закупки является строительство объекта капитального строительства (не линейный объект), и НМЦК составляет более 10 млн рублей, Заказчик обязан был установить дополнительное требование</w:t>
      </w:r>
    </w:p>
    <w:p>
      <w:pPr>
        <w:pStyle w:val="Style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pPr>
        <w:pStyle w:val="Style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право заключить который проводится закупка».</w:t>
      </w:r>
    </w:p>
    <w:p>
      <w:pPr>
        <w:pStyle w:val="Style9"/>
        <w:widowControl w:val="0"/>
        <w:keepNext w:val="0"/>
        <w:keepLines w:val="0"/>
        <w:shd w:val="clear" w:color="auto" w:fill="auto"/>
        <w:bidi w:val="0"/>
        <w:spacing w:before="0" w:after="0"/>
        <w:ind w:left="40" w:right="0" w:firstLine="580"/>
      </w:pPr>
      <w:r>
        <w:rPr>
          <w:lang w:val="ru-RU" w:eastAsia="ru-RU" w:bidi="ru-RU"/>
          <w:w w:val="100"/>
          <w:spacing w:val="0"/>
          <w:color w:val="000000"/>
          <w:position w:val="0"/>
        </w:rPr>
        <w:t>Заказчик нарушил требования законодательства.</w:t>
      </w:r>
    </w:p>
    <w:p>
      <w:pPr>
        <w:pStyle w:val="Style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В новой редакции постановления Правительства РФ №99 дополнительные требования содержат в себе привязку к типу объекту. Если предметом закупки является линейный объект, то требование должно быть установлено к опыту выполнения работ по линейному объекту. Если предметом закупки является выполнения строительства. Реконструкции, капитальному ремонту объекта капитального строительства, который не являтеся линейным объектом, то требование о наличии опыта устанавливается к объектам капитального строительства (за исключением линейного объекта). Заказчик указать просто «объекта капитального строительства», чем нарушил требования законодательства, а в частности приложения №1 к постановлению Правительства РФ от 04.02.2015 г.</w:t>
      </w:r>
    </w:p>
    <w:p>
      <w:pPr>
        <w:pStyle w:val="Style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Установление таких дополнительных требований грубо нарушает требования законодательства РФ и нарушает права участников закупки.</w:t>
      </w:r>
    </w:p>
    <w:p>
      <w:pPr>
        <w:pStyle w:val="Style9"/>
        <w:numPr>
          <w:ilvl w:val="0"/>
          <w:numId w:val="3"/>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В соответствии с частью 3 статьи 94 44-ФЗ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 при этом в п.4.2. «Муниципальный заказчик обязан» проекта контракта, приложенного в составе аукционной документации, отсутствует пункт с указанием обязательства по проведению экспертизы. В п. 14.4 проекта контракта «Муниципальный заказчик вправе принять решение об одностороннем отказе от исполнения Контракта в соответствии с Гражданским кодексом РФ. До принятия такого решения Муниципальный заказчик вправе провести экспертизу выполненных работ с привлечением экспертов, экспертных организаций.». Заказчик оставляет за собой только право проводить экспертизу.</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Считаем, что отсутствие условия об обязанности проводить экспертизу работ нарушает закон о контрактной системе в сфере закупок, а также ухудшает положение подрядчика, поскольку отсутствие в контракте обязательства по проведению экспертизы не гарантирует, что Заказчик проведет ее в соответствии с требованиями 44-ФЗ.</w:t>
      </w:r>
    </w:p>
    <w:p>
      <w:pPr>
        <w:pStyle w:val="Style9"/>
        <w:numPr>
          <w:ilvl w:val="0"/>
          <w:numId w:val="3"/>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В соответствии с пп. а) п. 2 постановления Правительства РФ от 15.05.2017 г. №570 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То есть Заказчик обязан включить в документацию о закупки 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w:t>
      </w:r>
    </w:p>
    <w:p>
      <w:pPr>
        <w:pStyle w:val="Style9"/>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В проекта контракта имеется приложение №6 «Виды и объемы работ</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по строительству объекта: "ВОС на 200 мЗ/сут. в с. Леуши Кондинского района Ханты- Мансийского автономного округа -Югры" которые Подрядчик обязан выполнить самостоятельно без привлечения других лиц к исполнению своих обязательств по настоящему контракту», в октором приложена пустая таблица.</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соответствии с пп. б) п. 2 постановления Правительства РФ от 15.05.2017 г. №570конкретные виды и объемы работ из числа видов и объемов работ, предусмотренных подпунктом "а" настоящего пункта,определенные по предложению подрядчика, включаются вгосударственный и (или) муниципальный контракт</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То есть в соответствии с постановлением Правительства РФ № 570 Заказчик обязан включить в документация возможные виды и объемы работ, а Подрядчик из указанных Заказчиком объемов и видов работ обязан предложить конкретные в</w:t>
      </w:r>
      <w:r>
        <w:rPr>
          <w:rStyle w:val="CharStyle17"/>
        </w:rPr>
        <w:t>иды</w:t>
      </w:r>
      <w:r>
        <w:rPr>
          <w:lang w:val="ru-RU" w:eastAsia="ru-RU" w:bidi="ru-RU"/>
          <w:w w:val="100"/>
          <w:spacing w:val="0"/>
          <w:color w:val="000000"/>
          <w:position w:val="0"/>
        </w:rPr>
        <w:t xml:space="preserve"> и объемы работ.</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Заказчик нарушил требования постановления Правительства РФ №570. Участники закупки не могут предложить конкретные виды объемы работ, поскольку Заказчиком не указаны возможные виды и объемы работ</w:t>
      </w:r>
    </w:p>
    <w:p>
      <w:pPr>
        <w:pStyle w:val="Style9"/>
        <w:numPr>
          <w:ilvl w:val="0"/>
          <w:numId w:val="3"/>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В приложении №4 к проекту контракта «график выполнения строительно-монтажных работ» приложена пустая таблица</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приложении №5 «график оплаты выполненных по контракту работ» приложена пустая таблица</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Заказчик включает в проект контракта пустой график выполнения строительно-монтажных работ и пустой график оплаты выполненных работ. В соответствии с п. 1.4 Методики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Приказа Министерства строительства и жилищно-коммунального хозяйства</w:t>
      </w:r>
    </w:p>
    <w:p>
      <w:pPr>
        <w:pStyle w:val="Style9"/>
        <w:widowControl w:val="0"/>
        <w:keepNext w:val="0"/>
        <w:keepLines w:val="0"/>
        <w:shd w:val="clear" w:color="auto" w:fill="auto"/>
        <w:bidi w:val="0"/>
        <w:spacing w:before="0" w:after="0"/>
        <w:ind w:left="40" w:right="60" w:firstLine="0"/>
      </w:pPr>
      <w:r>
        <w:rPr>
          <w:lang w:val="ru-RU" w:eastAsia="ru-RU" w:bidi="ru-RU"/>
          <w:w w:val="100"/>
          <w:spacing w:val="0"/>
          <w:color w:val="000000"/>
          <w:position w:val="0"/>
        </w:rPr>
        <w:t>РФ от 5 июня 2018 г. № 336/пр проекты графика выполнения работ и графика оплаты выполненных работ составляются заказчиком одновременно с проектом контракта, являются его приложением и размещаются заказчиком в единой информационной системе в сфере закупок вместе с документацией об осуществлении закупки, извещением о закупке.</w:t>
      </w:r>
    </w:p>
    <w:p>
      <w:pPr>
        <w:pStyle w:val="Style9"/>
        <w:widowControl w:val="0"/>
        <w:keepNext w:val="0"/>
        <w:keepLines w:val="0"/>
        <w:shd w:val="clear" w:color="auto" w:fill="auto"/>
        <w:bidi w:val="0"/>
        <w:spacing w:before="0" w:after="0"/>
        <w:ind w:left="40" w:right="60" w:firstLine="580"/>
      </w:pPr>
      <w:r>
        <w:rPr>
          <w:lang w:val="ru-RU" w:eastAsia="ru-RU" w:bidi="ru-RU"/>
          <w:w w:val="100"/>
          <w:spacing w:val="0"/>
          <w:color w:val="000000"/>
          <w:position w:val="0"/>
        </w:rPr>
        <w:t>Также в соответствии с требованиями частей 5, 6, 7 статьи 110.2 44-ФЗ и Приказа Министерства строительства и жилищно-коммунального хозяйства РФ от 5 июня 2018 г. № 336/пр “Об утверждении Методики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с 1 января 2019 года Заказчик в контракт, предметом которого является строительство и реконструкция объектов капитального строительства, обязан включать график выполнения строительно-монтажных работ и график оплаты выполненных работ по контракту в соответствии с требованиями Приказа Министерства строительства и жилищно-коммунального хозяйства РФ от 5 июня 2018 г. № 336/пр.</w:t>
      </w:r>
    </w:p>
    <w:p>
      <w:pPr>
        <w:pStyle w:val="Style9"/>
        <w:widowControl w:val="0"/>
        <w:keepNext w:val="0"/>
        <w:keepLines w:val="0"/>
        <w:shd w:val="clear" w:color="auto" w:fill="auto"/>
        <w:bidi w:val="0"/>
        <w:spacing w:before="0" w:after="0"/>
        <w:ind w:left="40" w:right="0" w:firstLine="580"/>
      </w:pPr>
      <w:r>
        <w:rPr>
          <w:lang w:val="ru-RU" w:eastAsia="ru-RU" w:bidi="ru-RU"/>
          <w:w w:val="100"/>
          <w:spacing w:val="0"/>
          <w:color w:val="000000"/>
          <w:position w:val="0"/>
        </w:rPr>
        <w:t>Предметом закупки является строительство объекта капитального строительства.</w:t>
      </w:r>
    </w:p>
    <w:p>
      <w:pPr>
        <w:pStyle w:val="Style9"/>
        <w:widowControl w:val="0"/>
        <w:keepNext w:val="0"/>
        <w:keepLines w:val="0"/>
        <w:shd w:val="clear" w:color="auto" w:fill="auto"/>
        <w:bidi w:val="0"/>
        <w:spacing w:before="0" w:after="0"/>
        <w:ind w:left="40" w:right="60" w:firstLine="580"/>
      </w:pPr>
      <w:r>
        <w:rPr>
          <w:lang w:val="ru-RU" w:eastAsia="ru-RU" w:bidi="ru-RU"/>
          <w:w w:val="100"/>
          <w:spacing w:val="0"/>
          <w:color w:val="000000"/>
          <w:position w:val="0"/>
        </w:rPr>
        <w:t>Заказчик нарушает требования законодательства, поскольку именно Заказчик должен включать проект графика выполнения работ и графика оплаты выполненных работ в проект контракта, а также размещать их в единой информационной системе.</w:t>
      </w:r>
    </w:p>
    <w:p>
      <w:pPr>
        <w:pStyle w:val="Style9"/>
        <w:widowControl w:val="0"/>
        <w:keepNext w:val="0"/>
        <w:keepLines w:val="0"/>
        <w:shd w:val="clear" w:color="auto" w:fill="auto"/>
        <w:bidi w:val="0"/>
        <w:spacing w:before="0" w:after="0"/>
        <w:ind w:left="40" w:right="60" w:firstLine="580"/>
      </w:pPr>
      <w:r>
        <w:rPr>
          <w:lang w:val="ru-RU" w:eastAsia="ru-RU" w:bidi="ru-RU"/>
          <w:w w:val="100"/>
          <w:spacing w:val="0"/>
          <w:color w:val="000000"/>
          <w:position w:val="0"/>
        </w:rPr>
        <w:t>Заказчик должен указать условия о сроках выполнения работ и оплаты выполненных работ, а Подрядчик должен ознакомиться с такими сроками и решить, готов ли он принять участие в аукционе.</w:t>
      </w:r>
    </w:p>
    <w:p>
      <w:pPr>
        <w:pStyle w:val="Style9"/>
        <w:widowControl w:val="0"/>
        <w:keepNext w:val="0"/>
        <w:keepLines w:val="0"/>
        <w:shd w:val="clear" w:color="auto" w:fill="auto"/>
        <w:bidi w:val="0"/>
        <w:spacing w:before="0" w:after="0"/>
        <w:ind w:left="40" w:right="60" w:firstLine="580"/>
      </w:pPr>
      <w:r>
        <w:rPr>
          <w:lang w:val="ru-RU" w:eastAsia="ru-RU" w:bidi="ru-RU"/>
          <w:w w:val="100"/>
          <w:spacing w:val="0"/>
          <w:color w:val="000000"/>
          <w:position w:val="0"/>
        </w:rPr>
        <w:t>В соответствии с п. 3.9 Методики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Приказа Министерства строительства и жилищно-коммунального хозяйства РФ от 5 июня 2018 г. № 336/пр дополнительно под табличной частью графика оплаты выполненных работ до полей для подписания его сторонами контракта в графике оплаты выполненных работ указывается цена контракта, срок и размер ее окончательной оплаты.</w:t>
      </w:r>
    </w:p>
    <w:p>
      <w:pPr>
        <w:pStyle w:val="Style9"/>
        <w:widowControl w:val="0"/>
        <w:keepNext w:val="0"/>
        <w:keepLines w:val="0"/>
        <w:shd w:val="clear" w:color="auto" w:fill="auto"/>
        <w:bidi w:val="0"/>
        <w:spacing w:before="0" w:after="0"/>
        <w:ind w:left="40" w:right="0" w:firstLine="580"/>
      </w:pPr>
      <w:r>
        <w:rPr>
          <w:lang w:val="ru-RU" w:eastAsia="ru-RU" w:bidi="ru-RU"/>
          <w:w w:val="100"/>
          <w:spacing w:val="0"/>
          <w:color w:val="000000"/>
          <w:position w:val="0"/>
        </w:rPr>
        <w:t>Такая информация в графике оплаты отсутствует.</w:t>
      </w:r>
    </w:p>
    <w:p>
      <w:pPr>
        <w:pStyle w:val="Style9"/>
        <w:widowControl w:val="0"/>
        <w:keepNext w:val="0"/>
        <w:keepLines w:val="0"/>
        <w:shd w:val="clear" w:color="auto" w:fill="auto"/>
        <w:bidi w:val="0"/>
        <w:spacing w:before="0" w:after="0"/>
        <w:ind w:left="40" w:right="60" w:firstLine="580"/>
      </w:pPr>
      <w:r>
        <w:rPr>
          <w:lang w:val="ru-RU" w:eastAsia="ru-RU" w:bidi="ru-RU"/>
          <w:w w:val="100"/>
          <w:spacing w:val="0"/>
          <w:color w:val="000000"/>
          <w:position w:val="0"/>
        </w:rPr>
        <w:t>В соответствии с п. 2.9 Методики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Приказа Министерства строительства и жилищно-коммунального хозяйства РФ от 5 июня 2018 г. № 336/пр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 не позднее которых должны состоятся следующие события:</w:t>
      </w:r>
    </w:p>
    <w:p>
      <w:pPr>
        <w:pStyle w:val="Style9"/>
        <w:numPr>
          <w:ilvl w:val="0"/>
          <w:numId w:val="7"/>
        </w:numPr>
        <w:widowControl w:val="0"/>
        <w:keepNext w:val="0"/>
        <w:keepLines w:val="0"/>
        <w:shd w:val="clear" w:color="auto" w:fill="auto"/>
        <w:bidi w:val="0"/>
        <w:spacing w:before="0" w:after="0"/>
        <w:ind w:left="40" w:right="60" w:firstLine="580"/>
      </w:pPr>
      <w:r>
        <w:rPr>
          <w:lang w:val="ru-RU" w:eastAsia="ru-RU" w:bidi="ru-RU"/>
          <w:w w:val="100"/>
          <w:spacing w:val="0"/>
          <w:color w:val="000000"/>
          <w:position w:val="0"/>
        </w:rPr>
        <w:t xml:space="preserve"> подписание сторонами акта о соответствии состояния земельного участка (объекта капитального строительства, подлежащего реконструкции) условиям контракта;</w:t>
      </w:r>
    </w:p>
    <w:p>
      <w:pPr>
        <w:pStyle w:val="Style9"/>
        <w:numPr>
          <w:ilvl w:val="0"/>
          <w:numId w:val="7"/>
        </w:numPr>
        <w:widowControl w:val="0"/>
        <w:keepNext w:val="0"/>
        <w:keepLines w:val="0"/>
        <w:shd w:val="clear" w:color="auto" w:fill="auto"/>
        <w:bidi w:val="0"/>
        <w:spacing w:before="0" w:after="0"/>
        <w:ind w:left="40" w:right="60" w:firstLine="580"/>
      </w:pPr>
      <w:r>
        <w:rPr>
          <w:lang w:val="ru-RU" w:eastAsia="ru-RU" w:bidi="ru-RU"/>
          <w:w w:val="100"/>
          <w:spacing w:val="0"/>
          <w:color w:val="000000"/>
          <w:position w:val="0"/>
        </w:rPr>
        <w:t xml:space="preserve"> передача подрядчику копии разрешения на строительство, реконструкцию объекта; копии решения собственника имущества о его сносе (при необходимости); копии разрешения на вырубку зеленых и лесных насаждений; копии технических условий и разрешений на временное присоединение объекта к сетям инженерно-технического обеспечения в соответствии с проектом организации строительства;</w:t>
      </w:r>
    </w:p>
    <w:p>
      <w:pPr>
        <w:pStyle w:val="Style9"/>
        <w:numPr>
          <w:ilvl w:val="0"/>
          <w:numId w:val="7"/>
        </w:numPr>
        <w:widowControl w:val="0"/>
        <w:keepNext w:val="0"/>
        <w:keepLines w:val="0"/>
        <w:shd w:val="clear" w:color="auto" w:fill="auto"/>
        <w:bidi w:val="0"/>
        <w:spacing w:before="0" w:after="0"/>
        <w:ind w:left="40" w:right="60" w:firstLine="580"/>
      </w:pPr>
      <w:r>
        <w:rPr>
          <w:lang w:val="ru-RU" w:eastAsia="ru-RU" w:bidi="ru-RU"/>
          <w:w w:val="100"/>
          <w:spacing w:val="0"/>
          <w:color w:val="000000"/>
          <w:position w:val="0"/>
        </w:rPr>
        <w:t xml:space="preserve"> передача подрядчику копий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Федерации;</w:t>
      </w:r>
    </w:p>
    <w:p>
      <w:pPr>
        <w:pStyle w:val="Style9"/>
        <w:numPr>
          <w:ilvl w:val="0"/>
          <w:numId w:val="7"/>
        </w:numPr>
        <w:widowControl w:val="0"/>
        <w:keepNext w:val="0"/>
        <w:keepLines w:val="0"/>
        <w:shd w:val="clear" w:color="auto" w:fill="auto"/>
        <w:bidi w:val="0"/>
        <w:spacing w:before="0" w:after="0"/>
        <w:ind w:left="40" w:right="60" w:firstLine="580"/>
      </w:pPr>
      <w:r>
        <w:rPr>
          <w:lang w:val="ru-RU" w:eastAsia="ru-RU" w:bidi="ru-RU"/>
          <w:w w:val="100"/>
          <w:spacing w:val="0"/>
          <w:color w:val="000000"/>
          <w:position w:val="0"/>
        </w:rPr>
        <w:t xml:space="preserve"> подключение объекта к сетям инженерно-технического обеспечения в соответствии с техническими условиями, предусмотренными проектной документацией;</w:t>
      </w:r>
    </w:p>
    <w:p>
      <w:pPr>
        <w:pStyle w:val="Style9"/>
        <w:numPr>
          <w:ilvl w:val="0"/>
          <w:numId w:val="7"/>
        </w:numPr>
        <w:widowControl w:val="0"/>
        <w:keepNext w:val="0"/>
        <w:keepLines w:val="0"/>
        <w:shd w:val="clear" w:color="auto" w:fill="auto"/>
        <w:bidi w:val="0"/>
        <w:spacing w:before="0" w:after="0"/>
        <w:ind w:left="40" w:right="60" w:firstLine="580"/>
      </w:pPr>
      <w:r>
        <w:rPr>
          <w:lang w:val="ru-RU" w:eastAsia="ru-RU" w:bidi="ru-RU"/>
          <w:w w:val="100"/>
          <w:spacing w:val="0"/>
          <w:color w:val="000000"/>
          <w:position w:val="0"/>
        </w:rPr>
        <w:t xml:space="preserve"> подписание акта о соответствии состояния земельного участка условиям контракта при завершении строительства, реконструкции объекта.</w:t>
      </w:r>
    </w:p>
    <w:p>
      <w:pPr>
        <w:pStyle w:val="Style9"/>
        <w:widowControl w:val="0"/>
        <w:keepNext w:val="0"/>
        <w:keepLines w:val="0"/>
        <w:shd w:val="clear" w:color="auto" w:fill="auto"/>
        <w:bidi w:val="0"/>
        <w:spacing w:before="0" w:after="0"/>
        <w:ind w:left="40" w:right="60" w:firstLine="580"/>
      </w:pPr>
      <w:r>
        <w:rPr>
          <w:lang w:val="ru-RU" w:eastAsia="ru-RU" w:bidi="ru-RU"/>
          <w:w w:val="100"/>
          <w:spacing w:val="0"/>
          <w:color w:val="000000"/>
          <w:position w:val="0"/>
        </w:rPr>
        <w:t>Такая информация под табличной частью график выполнения строительно-монтажных работ также отсутствует.</w:t>
      </w:r>
    </w:p>
    <w:p>
      <w:pPr>
        <w:pStyle w:val="Style3"/>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ходе рассмотрения доводов Заявителя Комиссией Управления установлено следующее.</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соответствии с требованиями части 1 и 2 статьи 24 Федерального закона № 44-ФЗ от 05.04.2013 года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Извещение и аукционная документация о проведении электронного аукциона, предметом которого является выполнение работ по строительству объекта: «ВОС на 200 мЗ/сут. в с. Леуши Кондинского района Ханты-Мансийского автономного округа -Югры» (извещение №0187300003519000205) размещены на официальном сайте единой информационной системы 24.05.2019.</w:t>
      </w:r>
    </w:p>
    <w:p>
      <w:pPr>
        <w:pStyle w:val="Style9"/>
        <w:numPr>
          <w:ilvl w:val="0"/>
          <w:numId w:val="9"/>
        </w:numPr>
        <w:tabs>
          <w:tab w:leader="none" w:pos="927" w:val="left"/>
        </w:tabs>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9"/>
        <w:numPr>
          <w:ilvl w:val="0"/>
          <w:numId w:val="11"/>
        </w:numPr>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 xml:space="preserve"> финансовых ресурсов для исполнения контракта;</w:t>
      </w:r>
    </w:p>
    <w:p>
      <w:pPr>
        <w:pStyle w:val="Style9"/>
        <w:numPr>
          <w:ilvl w:val="0"/>
          <w:numId w:val="11"/>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9"/>
        <w:widowControl w:val="0"/>
        <w:keepNext w:val="0"/>
        <w:keepLines w:val="0"/>
        <w:shd w:val="clear" w:color="auto" w:fill="auto"/>
        <w:bidi w:val="0"/>
        <w:spacing w:before="0" w:after="0"/>
        <w:ind w:left="20" w:right="0" w:firstLine="580"/>
      </w:pPr>
      <w:r>
        <w:rPr>
          <w:rStyle w:val="CharStyle17"/>
        </w:rPr>
        <w:t>31 опыта работы, связанного с предметом контракта, и деловой репутации:</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4) необходимого количества специалистов и иных работников определенного уровня квалификации для исполнения контракта.</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Перечень документов, которые подтверждают соответствие участников закупок дополнительным требованиям, указанным в частях 2 и 2.1 статьи 31 Закона о контрактной системе, устанавливается Правительством Российской Федерации (часть 3 статьи 31 Закона о контрактной системе).</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Согласно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9"/>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Постановлением Правительства РФ от 04.02.2015 № 99 (ред. от 21.03.2019) установлены дополнительные требования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(вместе с "Дополнительными требованиями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(далее — Постановление №99).</w:t>
      </w:r>
    </w:p>
    <w:p>
      <w:pPr>
        <w:pStyle w:val="Style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Пунктом 18 раздела I аукционной документации Заказчиком, Уполномоченным органом установлены дополнительные требования к участникам закупки отдельных видов товаров, работ, услуг:</w:t>
      </w:r>
    </w:p>
    <w:p>
      <w:pPr>
        <w:pStyle w:val="Style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 xml:space="preserve">«Установлено, в соответствии с требованием п. 3 ч.2 ст. 31 Закона 44-ФЗ и постановлением Правительства Российской Федерации от 04.02.2015 </w:t>
      </w:r>
      <w:r>
        <w:rPr>
          <w:lang w:val="en-US" w:eastAsia="en-US" w:bidi="en-US"/>
          <w:w w:val="100"/>
          <w:spacing w:val="0"/>
          <w:color w:val="000000"/>
          <w:position w:val="0"/>
        </w:rPr>
        <w:t xml:space="preserve">N </w:t>
      </w:r>
      <w:r>
        <w:rPr>
          <w:lang w:val="ru-RU" w:eastAsia="ru-RU" w:bidi="ru-RU"/>
          <w:w w:val="100"/>
          <w:spacing w:val="0"/>
          <w:color w:val="000000"/>
          <w:position w:val="0"/>
        </w:rPr>
        <w:t>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pPr>
        <w:pStyle w:val="Style9"/>
        <w:numPr>
          <w:ilvl w:val="0"/>
          <w:numId w:val="1"/>
        </w:numPr>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 xml:space="preserve"> Наличие опыта исполнения (с учетом правопреемства) одного контракта (договора) на </w:t>
      </w:r>
      <w:r>
        <w:rPr>
          <w:rStyle w:val="CharStyle17"/>
        </w:rPr>
        <w:t>выполнение работ по строительству, реконструкции и капитальному ремонту объектов</w:t>
      </w:r>
      <w:r>
        <w:rPr>
          <w:lang w:val="ru-RU" w:eastAsia="ru-RU" w:bidi="ru-RU"/>
          <w:w w:val="100"/>
          <w:spacing w:val="0"/>
          <w:color w:val="000000"/>
          <w:position w:val="0"/>
        </w:rPr>
        <w:t xml:space="preserve"> </w:t>
      </w:r>
      <w:r>
        <w:rPr>
          <w:rStyle w:val="CharStyle17"/>
        </w:rPr>
        <w:t>капитального строительства</w:t>
      </w:r>
      <w:r>
        <w:rPr>
          <w:lang w:val="ru-RU" w:eastAsia="ru-RU" w:bidi="ru-RU"/>
          <w:w w:val="100"/>
          <w:spacing w:val="0"/>
          <w:color w:val="000000"/>
          <w:position w:val="0"/>
        </w:rPr>
        <w:t xml:space="preserve"> за последние 3 года до даты подачи заявки на участие в закупке. При этом стоимость такого исполненного контракта (договора) должна составлять не менее 50 процентов начальной (максимальной) цены контракта, договора (цены лота) (не менее 32 285</w:t>
      </w:r>
    </w:p>
    <w:p>
      <w:pPr>
        <w:pStyle w:val="Style9"/>
        <w:numPr>
          <w:ilvl w:val="0"/>
          <w:numId w:val="13"/>
        </w:numPr>
        <w:tabs>
          <w:tab w:leader="none" w:pos="866" w:val="left"/>
        </w:tabs>
        <w:widowControl w:val="0"/>
        <w:keepNext w:val="0"/>
        <w:keepLines w:val="0"/>
        <w:shd w:val="clear" w:color="auto" w:fill="auto"/>
        <w:bidi w:val="0"/>
        <w:spacing w:before="0" w:after="0"/>
        <w:ind w:left="40" w:right="40" w:firstLine="0"/>
      </w:pPr>
      <w:r>
        <w:rPr>
          <w:lang w:val="ru-RU" w:eastAsia="ru-RU" w:bidi="ru-RU"/>
          <w:w w:val="100"/>
          <w:spacing w:val="0"/>
          <w:color w:val="000000"/>
          <w:position w:val="0"/>
        </w:rPr>
        <w:t>(тридцать два миллиона двести восемьдесят пять тысяч шестьсот семьдесят пять рублей 00 копеек) на право заключить который проводится закупка с предоставлением документов, подтверждающих соответствие участников закупки указанному дополнительному требованию, а именно: копия исполненного контракта (договора);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 Указанный документ (документы) должен быть подписан (подписаны) не ранее чем за 3 года до даты окончания срока подачи заявок на участие в закупке».</w:t>
      </w:r>
    </w:p>
    <w:p>
      <w:pPr>
        <w:pStyle w:val="Style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Вместе с тем в Постановлении №99 установлено 2 возможных варианта наименования дополнительных требований:</w:t>
      </w:r>
    </w:p>
    <w:p>
      <w:pPr>
        <w:pStyle w:val="Style9"/>
        <w:numPr>
          <w:ilvl w:val="0"/>
          <w:numId w:val="1"/>
        </w:numPr>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 xml:space="preserve"> 2. Выполнение работ по строительству, реконструкции, капитальному ремонту, сносу объекта капитального строительства, </w:t>
      </w:r>
      <w:r>
        <w:rPr>
          <w:rStyle w:val="CharStyle17"/>
        </w:rPr>
        <w:t>за исключением линейного объекта,</w:t>
      </w:r>
      <w:r>
        <w:rPr>
          <w:lang w:val="ru-RU" w:eastAsia="ru-RU" w:bidi="ru-RU"/>
          <w:w w:val="100"/>
          <w:spacing w:val="0"/>
          <w:color w:val="000000"/>
          <w:position w:val="0"/>
        </w:rPr>
        <w:t xml:space="preserve"> если начальная (максимальная) цена контракта (цена лота) превышает 10 млн. рублей.</w:t>
      </w:r>
    </w:p>
    <w:p>
      <w:pPr>
        <w:pStyle w:val="Style9"/>
        <w:numPr>
          <w:ilvl w:val="0"/>
          <w:numId w:val="1"/>
        </w:numPr>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 xml:space="preserve"> 2(1). Выполнение работ по строительству, реконструкции, капитальному ремонту, сносу </w:t>
      </w:r>
      <w:r>
        <w:rPr>
          <w:rStyle w:val="CharStyle17"/>
        </w:rPr>
        <w:t>линейного объекта</w:t>
      </w:r>
      <w:r>
        <w:rPr>
          <w:lang w:val="ru-RU" w:eastAsia="ru-RU" w:bidi="ru-RU"/>
          <w:w w:val="100"/>
          <w:spacing w:val="0"/>
          <w:color w:val="000000"/>
          <w:position w:val="0"/>
        </w:rPr>
        <w:t>, если начальная (максимальная) цена контракта (цена лота) превышает 10 млн. рублей.</w:t>
      </w:r>
    </w:p>
    <w:p>
      <w:pPr>
        <w:pStyle w:val="Style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При этом Заказчиком, Уполномоченным органом установлены дополнительные требования без указания о наличии либо отсутствии линейных объектов при выполнении работ, предусмотренных закупкой.</w:t>
      </w:r>
    </w:p>
    <w:p>
      <w:pPr>
        <w:pStyle w:val="Style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Комиссия Управления отмечает, что требование к документам, подтверждающие соответствие участников закупки дополнительным требованиям устанавливаются тоже в зависимости от наличия либо отсутствия линейных объектов.</w:t>
      </w:r>
    </w:p>
    <w:p>
      <w:pPr>
        <w:pStyle w:val="Style9"/>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 xml:space="preserve">На заседании Комиссии Управления представитель Заказчика отметил, что при выполнении работ по рассматриваемой закупке линейные объекты отсутствуют, в связи с чем должно быть установлено требование в соответствии с пунктом 2 Постановления №99, то есть выполнение работ по строительству, реконструкции, капитальному ремонту, сносу объекта капитального строительства, </w:t>
      </w:r>
      <w:r>
        <w:rPr>
          <w:rStyle w:val="CharStyle17"/>
        </w:rPr>
        <w:t>за исключением линейного объекта</w:t>
      </w:r>
      <w:r>
        <w:rPr>
          <w:lang w:val="ru-RU" w:eastAsia="ru-RU" w:bidi="ru-RU"/>
          <w:w w:val="100"/>
          <w:spacing w:val="0"/>
          <w:color w:val="000000"/>
          <w:position w:val="0"/>
        </w:rPr>
        <w:t>, если начальная (максимальная) цена контракта (цена лота) превышает 10 млн. рублей.</w:t>
      </w:r>
    </w:p>
    <w:p>
      <w:pPr>
        <w:pStyle w:val="Style9"/>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Комиссия Управления отмечает, что согласно документам, размещенным в единой информационной системе, аукционная документация была утверждена как сотрудником Заказчика, так и сотрудником Уполномоченного органа.</w:t>
      </w:r>
    </w:p>
    <w:p>
      <w:pPr>
        <w:pStyle w:val="Style9"/>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На основании вышеизложенного, Комиссия Управления пришла к выводу о наличии в действиях Заказчика, Уполномоченного органа что не соответствует частям 3, 4 статьи 31 Закона о контрактной системе и пункту 2 Постановления №99.</w:t>
      </w:r>
    </w:p>
    <w:p>
      <w:pPr>
        <w:pStyle w:val="Style9"/>
        <w:numPr>
          <w:ilvl w:val="0"/>
          <w:numId w:val="9"/>
        </w:numPr>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 xml:space="preserve"> В соответствии с частью 3 статьи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pPr>
        <w:pStyle w:val="Style9"/>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Статьей 34 Закона о контрактной системе установлен исчерпывающий перечень положений, подлежащих включению в государственный контракт.</w:t>
      </w:r>
    </w:p>
    <w:p>
      <w:pPr>
        <w:pStyle w:val="Style9"/>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Таким образом, Закон о контрактной системе не обязывает заказчика включать в проект государственного контракта положение о проведении экспертизы результатов исполнения контракта.</w:t>
      </w:r>
    </w:p>
    <w:p>
      <w:pPr>
        <w:pStyle w:val="Style9"/>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На заседании Комиссии представитель Заказчика пояснил, что в пунктах 12.6, 14.4, 14.5, 14.6 определен порядок проведение экспертизы качества поставленных товаров, выполненных работ, оказанных услуг.</w:t>
      </w:r>
    </w:p>
    <w:p>
      <w:pPr>
        <w:pStyle w:val="Style9"/>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Таким образом, Комиссия приходит к выводу, что довод Заявителя не нашел своего подтверждения.</w:t>
      </w:r>
    </w:p>
    <w:p>
      <w:pPr>
        <w:pStyle w:val="Style9"/>
        <w:numPr>
          <w:ilvl w:val="0"/>
          <w:numId w:val="9"/>
        </w:numPr>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 xml:space="preserve"> В силу части 2 статьи 110.2 Закона о контрактной системе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p>
    <w:p>
      <w:pPr>
        <w:pStyle w:val="Style9"/>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Постановлением Правительства РФ от 15.05.2017 № 570 установлены виды и объемы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(далее — Постановление №570).</w:t>
      </w:r>
    </w:p>
    <w:p>
      <w:pPr>
        <w:pStyle w:val="Style9"/>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В пункте 2 Постановления №570 установлено, что:</w:t>
      </w:r>
    </w:p>
    <w:p>
      <w:pPr>
        <w:pStyle w:val="Style9"/>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а) 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w:t>
      </w:r>
    </w:p>
    <w:p>
      <w:pPr>
        <w:pStyle w:val="Style9"/>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б) конкретные виды я объемы рабо т из числа видов и объемов работ, предусмотренных подпунктом "а" настоящего пункта, определенные по предложению подрядчика, включаются в государственный и (или) муниципальный контракт и исходя из сметной стоимости этих работ, предусмотренной проектной документацией, в совокупном стоимостном выражении должны составлять:</w:t>
      </w:r>
    </w:p>
    <w:p>
      <w:pPr>
        <w:pStyle w:val="Style9"/>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не менее 15 процентов цены государственного и (или) муниципального контракта - со дня вступления в силу настоящего постановления и до 1 июля 2018 г.;</w:t>
      </w:r>
    </w:p>
    <w:p>
      <w:pPr>
        <w:pStyle w:val="Style9"/>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не менее 25 процентов цены государственного и (или) муниципального контракта - с 1 июля 2018 г.</w:t>
      </w:r>
    </w:p>
    <w:p>
      <w:pPr>
        <w:pStyle w:val="Style9"/>
        <w:widowControl w:val="0"/>
        <w:keepNext w:val="0"/>
        <w:keepLines w:val="0"/>
        <w:shd w:val="clear" w:color="auto" w:fill="auto"/>
        <w:bidi w:val="0"/>
        <w:spacing w:before="0" w:after="0"/>
        <w:ind w:left="40" w:right="60" w:firstLine="560"/>
      </w:pPr>
      <w:r>
        <w:rPr>
          <w:lang w:val="ru-RU" w:eastAsia="ru-RU" w:bidi="ru-RU"/>
          <w:w w:val="100"/>
          <w:spacing w:val="0"/>
          <w:color w:val="000000"/>
          <w:position w:val="0"/>
        </w:rPr>
        <w:t>Пунктом 15 раздела II «Техническое задание» аукционной документации установлены виды работ по строительству объекта капитального строительства, которые подрядчик обязан выполнить самостоятельно без привлечения других лиц к исполнению своих обязательств по муниципальному контракту:</w:t>
      </w:r>
    </w:p>
    <w:p>
      <w:pPr>
        <w:pStyle w:val="Style9"/>
        <w:numPr>
          <w:ilvl w:val="0"/>
          <w:numId w:val="15"/>
        </w:numPr>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 xml:space="preserve"> Подготовительные работы</w:t>
      </w:r>
    </w:p>
    <w:p>
      <w:pPr>
        <w:pStyle w:val="Style9"/>
        <w:numPr>
          <w:ilvl w:val="0"/>
          <w:numId w:val="15"/>
        </w:numPr>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 xml:space="preserve"> Земляные работы</w:t>
      </w:r>
    </w:p>
    <w:p>
      <w:pPr>
        <w:pStyle w:val="Style9"/>
        <w:numPr>
          <w:ilvl w:val="0"/>
          <w:numId w:val="15"/>
        </w:numPr>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 xml:space="preserve"> Инженерная подготовка территории</w:t>
      </w:r>
    </w:p>
    <w:p>
      <w:pPr>
        <w:pStyle w:val="Style9"/>
        <w:numPr>
          <w:ilvl w:val="0"/>
          <w:numId w:val="15"/>
        </w:numPr>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 xml:space="preserve"> Устройство фундаментов и оснований</w:t>
      </w:r>
    </w:p>
    <w:p>
      <w:pPr>
        <w:pStyle w:val="Style9"/>
        <w:numPr>
          <w:ilvl w:val="0"/>
          <w:numId w:val="15"/>
        </w:numPr>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 xml:space="preserve"> Возведение несущих конструкций</w:t>
      </w:r>
    </w:p>
    <w:p>
      <w:pPr>
        <w:pStyle w:val="Style9"/>
        <w:numPr>
          <w:ilvl w:val="0"/>
          <w:numId w:val="15"/>
        </w:numPr>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 xml:space="preserve"> Монтаж технологического оборудования</w:t>
      </w:r>
    </w:p>
    <w:p>
      <w:pPr>
        <w:pStyle w:val="Style9"/>
        <w:numPr>
          <w:ilvl w:val="0"/>
          <w:numId w:val="15"/>
        </w:numPr>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 xml:space="preserve"> Пусконаладочные работы</w:t>
      </w:r>
    </w:p>
    <w:p>
      <w:pPr>
        <w:pStyle w:val="Style9"/>
        <w:numPr>
          <w:ilvl w:val="0"/>
          <w:numId w:val="15"/>
        </w:numPr>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 xml:space="preserve"> Устройство наружных электрических сетей и линий связи</w:t>
      </w:r>
    </w:p>
    <w:p>
      <w:pPr>
        <w:pStyle w:val="Style9"/>
        <w:numPr>
          <w:ilvl w:val="0"/>
          <w:numId w:val="15"/>
        </w:numPr>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 xml:space="preserve"> Устройство наружных сетей канализации</w:t>
      </w:r>
    </w:p>
    <w:p>
      <w:pPr>
        <w:pStyle w:val="Style9"/>
        <w:numPr>
          <w:ilvl w:val="0"/>
          <w:numId w:val="15"/>
        </w:numPr>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 xml:space="preserve"> Устройство наружных сетей водоснабжения</w:t>
      </w:r>
    </w:p>
    <w:p>
      <w:pPr>
        <w:pStyle w:val="Style9"/>
        <w:numPr>
          <w:ilvl w:val="0"/>
          <w:numId w:val="15"/>
        </w:numPr>
        <w:widowControl w:val="0"/>
        <w:keepNext w:val="0"/>
        <w:keepLines w:val="0"/>
        <w:shd w:val="clear" w:color="auto" w:fill="auto"/>
        <w:bidi w:val="0"/>
        <w:spacing w:before="0" w:after="0"/>
        <w:ind w:left="40" w:right="60" w:firstLine="560"/>
      </w:pPr>
      <w:r>
        <w:rPr>
          <w:lang w:val="ru-RU" w:eastAsia="ru-RU" w:bidi="ru-RU"/>
          <w:w w:val="100"/>
          <w:spacing w:val="0"/>
          <w:color w:val="000000"/>
          <w:position w:val="0"/>
        </w:rPr>
        <w:t xml:space="preserve"> Устройство переходов сетей и трубопроводов через естественные и искусственные препятствия</w:t>
      </w:r>
    </w:p>
    <w:p>
      <w:pPr>
        <w:pStyle w:val="Style9"/>
        <w:widowControl w:val="0"/>
        <w:keepNext w:val="0"/>
        <w:keepLines w:val="0"/>
        <w:shd w:val="clear" w:color="auto" w:fill="auto"/>
        <w:bidi w:val="0"/>
        <w:spacing w:before="0" w:after="0"/>
        <w:ind w:left="40" w:right="60" w:firstLine="560"/>
      </w:pPr>
      <w:r>
        <w:rPr>
          <w:lang w:val="ru-RU" w:eastAsia="ru-RU" w:bidi="ru-RU"/>
          <w:w w:val="100"/>
          <w:spacing w:val="0"/>
          <w:color w:val="000000"/>
          <w:position w:val="0"/>
        </w:rPr>
        <w:t>Из пункта 18.5 проекта контракта следует, что приложением №6 к контракту является таблица «Виды и объемы работ которые Подрядчик обязан выполнить самостоятельно».</w:t>
      </w:r>
    </w:p>
    <w:p>
      <w:pPr>
        <w:pStyle w:val="Style9"/>
        <w:widowControl w:val="0"/>
        <w:keepNext w:val="0"/>
        <w:keepLines w:val="0"/>
        <w:shd w:val="clear" w:color="auto" w:fill="auto"/>
        <w:bidi w:val="0"/>
        <w:spacing w:before="0" w:after="0"/>
        <w:ind w:left="40" w:right="60" w:firstLine="560"/>
      </w:pPr>
      <w:r>
        <w:rPr>
          <w:lang w:val="ru-RU" w:eastAsia="ru-RU" w:bidi="ru-RU"/>
          <w:w w:val="100"/>
          <w:spacing w:val="0"/>
          <w:color w:val="000000"/>
          <w:position w:val="0"/>
        </w:rPr>
        <w:t xml:space="preserve">На заседании Комиссии Управления представитель Заказчика пояснил, что при заключении контракта в Приложение №6 контракта будут включены виды работ, предусмотренные подпунктом "а" пункта 2 Постановления №570, </w:t>
      </w:r>
      <w:r>
        <w:rPr>
          <w:rStyle w:val="CharStyle17"/>
        </w:rPr>
        <w:t>определенные по предложению подрядчика,</w:t>
      </w:r>
      <w:r>
        <w:rPr>
          <w:lang w:val="ru-RU" w:eastAsia="ru-RU" w:bidi="ru-RU"/>
          <w:w w:val="100"/>
          <w:spacing w:val="0"/>
          <w:color w:val="000000"/>
          <w:position w:val="0"/>
        </w:rPr>
        <w:t xml:space="preserve"> объем которых будет составлять не менее 25 процентов цены государственного и (или) муниципального контракта, что соответствует требованиям части 2 статьи 110.2 Закона о контрактной системе и требованиям Постановления №570.</w:t>
      </w:r>
    </w:p>
    <w:p>
      <w:pPr>
        <w:pStyle w:val="Style9"/>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Таким образом, довод Заявителя не нашел своего подтверждения.</w:t>
      </w:r>
    </w:p>
    <w:p>
      <w:pPr>
        <w:pStyle w:val="Style9"/>
        <w:widowControl w:val="0"/>
        <w:keepNext w:val="0"/>
        <w:keepLines w:val="0"/>
        <w:shd w:val="clear" w:color="auto" w:fill="auto"/>
        <w:bidi w:val="0"/>
        <w:spacing w:before="0" w:after="0"/>
        <w:ind w:left="40" w:right="60" w:firstLine="560"/>
      </w:pPr>
      <w:r>
        <w:rPr>
          <w:lang w:val="ru-RU" w:eastAsia="ru-RU" w:bidi="ru-RU"/>
          <w:w w:val="100"/>
          <w:spacing w:val="0"/>
          <w:color w:val="000000"/>
          <w:position w:val="0"/>
        </w:rPr>
        <w:t xml:space="preserve">Вместе с тем, Комиссия Управления отмечает, что в пункте 15 раздела II «Техническое задание» аукционной документации Заказчиком установлено, что Подрядчик обязан выполнить самостоятельно без привлечения других лиц к исполнению своих обязательств по Муниципальному контракту конкретные виды и объемы работ из числа нижеперечисленных видов работ. Исходя из сметной стоимости этих работ, предусмотренной проектной документацией, в совокупном стоимостном выражении объем работ должен составлять </w:t>
      </w:r>
      <w:r>
        <w:rPr>
          <w:rStyle w:val="CharStyle17"/>
        </w:rPr>
        <w:t>не менее 15 процентов</w:t>
      </w:r>
      <w:r>
        <w:rPr>
          <w:lang w:val="ru-RU" w:eastAsia="ru-RU" w:bidi="ru-RU"/>
          <w:w w:val="100"/>
          <w:spacing w:val="0"/>
          <w:color w:val="000000"/>
          <w:position w:val="0"/>
        </w:rPr>
        <w:t xml:space="preserve"> от цены Муниципального контракта. Данные виды и объемы работ включаются в условия Муниципального контракта.</w:t>
      </w:r>
    </w:p>
    <w:p>
      <w:pPr>
        <w:pStyle w:val="Style9"/>
        <w:widowControl w:val="0"/>
        <w:keepNext w:val="0"/>
        <w:keepLines w:val="0"/>
        <w:shd w:val="clear" w:color="auto" w:fill="auto"/>
        <w:bidi w:val="0"/>
        <w:spacing w:before="0" w:after="0"/>
        <w:ind w:left="40" w:right="60" w:firstLine="560"/>
      </w:pPr>
      <w:r>
        <w:rPr>
          <w:lang w:val="ru-RU" w:eastAsia="ru-RU" w:bidi="ru-RU"/>
          <w:w w:val="100"/>
          <w:spacing w:val="0"/>
          <w:color w:val="000000"/>
          <w:position w:val="0"/>
        </w:rPr>
        <w:t>При этом в Приложении №6 контракта установлено иное требование - не менее 25 % цены настоящего контракта (подпункт «б» пункта 2 постановления Правительства Российской Федерации от 15 мая 2017 года№ 570).</w:t>
      </w:r>
    </w:p>
    <w:p>
      <w:pPr>
        <w:pStyle w:val="Style9"/>
        <w:widowControl w:val="0"/>
        <w:keepNext w:val="0"/>
        <w:keepLines w:val="0"/>
        <w:shd w:val="clear" w:color="auto" w:fill="auto"/>
        <w:bidi w:val="0"/>
        <w:spacing w:before="0" w:after="0"/>
        <w:ind w:left="40" w:right="60" w:firstLine="560"/>
      </w:pPr>
      <w:r>
        <w:rPr>
          <w:lang w:val="ru-RU" w:eastAsia="ru-RU" w:bidi="ru-RU"/>
          <w:w w:val="100"/>
          <w:spacing w:val="0"/>
          <w:color w:val="000000"/>
          <w:position w:val="0"/>
        </w:rPr>
        <w:t>В соответствии с частью 3 статьи 7 Закона о контарктной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9"/>
        <w:widowControl w:val="0"/>
        <w:keepNext w:val="0"/>
        <w:keepLines w:val="0"/>
        <w:shd w:val="clear" w:color="auto" w:fill="auto"/>
        <w:bidi w:val="0"/>
        <w:spacing w:before="0" w:after="0"/>
        <w:ind w:left="40" w:right="60" w:firstLine="560"/>
      </w:pPr>
      <w:r>
        <w:rPr>
          <w:lang w:val="ru-RU" w:eastAsia="ru-RU" w:bidi="ru-RU"/>
          <w:w w:val="100"/>
          <w:spacing w:val="0"/>
          <w:color w:val="000000"/>
          <w:position w:val="0"/>
        </w:rPr>
        <w:t>Учитывая вышеизложенное, Комиссия Управления приходит к выводу о наличии в действиях Заказчика, Уполномоченного органа нарушения части 3 статьи 7 Закона о контрактной системе.</w:t>
      </w:r>
    </w:p>
    <w:p>
      <w:pPr>
        <w:pStyle w:val="Style9"/>
        <w:numPr>
          <w:ilvl w:val="0"/>
          <w:numId w:val="9"/>
        </w:numPr>
        <w:tabs>
          <w:tab w:leader="none" w:pos="962" w:val="left"/>
        </w:tabs>
        <w:widowControl w:val="0"/>
        <w:keepNext w:val="0"/>
        <w:keepLines w:val="0"/>
        <w:shd w:val="clear" w:color="auto" w:fill="auto"/>
        <w:bidi w:val="0"/>
        <w:spacing w:before="0" w:after="0"/>
        <w:ind w:left="40" w:right="60" w:firstLine="560"/>
      </w:pPr>
      <w:r>
        <w:rPr>
          <w:lang w:val="ru-RU" w:eastAsia="ru-RU" w:bidi="ru-RU"/>
          <w:w w:val="100"/>
          <w:spacing w:val="0"/>
          <w:color w:val="000000"/>
          <w:position w:val="0"/>
        </w:rPr>
        <w:t>В соответствии с частью 5 статьи 110.2 Закона о контарктной системе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pPr>
        <w:pStyle w:val="Style9"/>
        <w:widowControl w:val="0"/>
        <w:keepNext w:val="0"/>
        <w:keepLines w:val="0"/>
        <w:shd w:val="clear" w:color="auto" w:fill="auto"/>
        <w:bidi w:val="0"/>
        <w:spacing w:before="0" w:after="0"/>
        <w:ind w:left="40" w:right="60" w:firstLine="560"/>
      </w:pPr>
      <w:r>
        <w:rPr>
          <w:lang w:val="ru-RU" w:eastAsia="ru-RU" w:bidi="ru-RU"/>
          <w:w w:val="100"/>
          <w:spacing w:val="0"/>
          <w:color w:val="000000"/>
          <w:position w:val="0"/>
        </w:rPr>
        <w:t>Согласно части 6 статьи 110.2 Закона о контрактной системе объем выполненных по контракту работ определяется с учетом статьи 743 Гражданского кодекса Российской Федерации. При этом оплата выполненных по контракту работ осуществляется в сроки и в размерах, которые установлены графиком оплаты выполненных по контракту работ с учетом графика выполнения строительно-монтажных работ.</w:t>
      </w:r>
    </w:p>
    <w:p>
      <w:pPr>
        <w:pStyle w:val="Style9"/>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Из части 7 статьи 110.2 Закона о контарктной системе методика составления указанных в части 6 настоящей статьи графиков утверждается федеральным органом исполнительной власти, осуществляющим функции по выработке и реализации государственной политики и нормативно</w:t>
        <w:softHyphen/>
        <w:t>правовому регулированию в сфере строительства, архитектуры, градостроительства.</w:t>
      </w:r>
    </w:p>
    <w:p>
      <w:pPr>
        <w:pStyle w:val="Style9"/>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Приказом Минстроя России от 05.06.2018 № 336/пр утверждена Методика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(Зарегистрировано в Минюсте России 23.10.2018 </w:t>
      </w:r>
      <w:r>
        <w:rPr>
          <w:lang w:val="en-US" w:eastAsia="en-US" w:bidi="en-US"/>
          <w:w w:val="100"/>
          <w:spacing w:val="0"/>
          <w:color w:val="000000"/>
          <w:position w:val="0"/>
        </w:rPr>
        <w:t xml:space="preserve">N </w:t>
      </w:r>
      <w:r>
        <w:rPr>
          <w:lang w:val="ru-RU" w:eastAsia="ru-RU" w:bidi="ru-RU"/>
          <w:w w:val="100"/>
          <w:spacing w:val="0"/>
          <w:color w:val="000000"/>
          <w:position w:val="0"/>
        </w:rPr>
        <w:t>52499).</w:t>
      </w:r>
    </w:p>
    <w:p>
      <w:pPr>
        <w:pStyle w:val="Style9"/>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В разделе I Приказа Минстроя России от 05.06.2018 № 336/пр установлены следующие требования:</w:t>
      </w:r>
    </w:p>
    <w:p>
      <w:pPr>
        <w:pStyle w:val="Style9"/>
        <w:numPr>
          <w:ilvl w:val="0"/>
          <w:numId w:val="17"/>
        </w:numPr>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 График выполнения строительно-монтажных работ (далее - график выполнения работ) должен содержать информацию о сроке начала строительства, реконструкции объекта капитального строительства (далее - объект) (начальный срок), сроке окончания строительства, реконструкции объекта (конечный срок), о сроках завершения отдельных этапов выполнения работ по строительству, реконструкции объекта (промежуточные сроки).</w:t>
      </w:r>
    </w:p>
    <w:p>
      <w:pPr>
        <w:pStyle w:val="Style9"/>
        <w:numPr>
          <w:ilvl w:val="0"/>
          <w:numId w:val="17"/>
        </w:numPr>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 График оплаты выполненных по контракту, предметом которого являются строительство, реконструкция объектов капитального строительства, работ (далее - график оплаты выполненных работ), должен содержать информацию о сроках и размере оплаты выполненных строительно-монтажных работ.</w:t>
      </w:r>
    </w:p>
    <w:p>
      <w:pPr>
        <w:pStyle w:val="Style9"/>
        <w:numPr>
          <w:ilvl w:val="0"/>
          <w:numId w:val="17"/>
        </w:numPr>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 Проекты графика выполнения работ и графика оплаты выполненных работ составляются заказчиком одновременно с проектом контракта, являются его приложением и размещаются заказчиком в единой информационной системе в сфере закупок вместе с документацией об осуществлении закупки, извещением о закупке.</w:t>
      </w:r>
    </w:p>
    <w:p>
      <w:pPr>
        <w:pStyle w:val="Style9"/>
        <w:numPr>
          <w:ilvl w:val="0"/>
          <w:numId w:val="17"/>
        </w:numPr>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 График выполнения работ и график оплаты выполненных работ должны составляться в табличной форме, состоящей из взаимосвязанных граф, строк и колонок.</w:t>
      </w:r>
    </w:p>
    <w:p>
      <w:pPr>
        <w:pStyle w:val="Style9"/>
        <w:numPr>
          <w:ilvl w:val="0"/>
          <w:numId w:val="17"/>
        </w:numPr>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 Под табличной частью в графике выполнения работ и графике оплаты выполненных работ предусматриваются поля для подписания их сторонами контракта.</w:t>
      </w:r>
    </w:p>
    <w:p>
      <w:pPr>
        <w:pStyle w:val="Style9"/>
        <w:numPr>
          <w:ilvl w:val="0"/>
          <w:numId w:val="17"/>
        </w:numPr>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 Изменение графика выполнения работ и графика оплаты выполненных работ не допускается, за исключением случаев, предусмотренных контрактом, с учетом требований Закона о контрактной системе.</w:t>
      </w:r>
    </w:p>
    <w:p>
      <w:pPr>
        <w:pStyle w:val="Style9"/>
        <w:tabs>
          <w:tab w:leader="underscore" w:pos="6875" w:val="left"/>
          <w:tab w:leader="underscore" w:pos="9746" w:val="left"/>
        </w:tabs>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Проанализировав аукционную документацию, Комиссией Управления было установлено, что в пункте 18.5. проекта контракта предусмотрены следующие приложения, которые являются </w:t>
      </w:r>
      <w:r>
        <w:rPr>
          <w:rStyle w:val="CharStyle17"/>
        </w:rPr>
        <w:t>неотъемлемой частью настоящего Контракт</w:t>
      </w:r>
      <w:r>
        <w:rPr>
          <w:lang w:val="ru-RU" w:eastAsia="ru-RU" w:bidi="ru-RU"/>
          <w:w w:val="100"/>
          <w:spacing w:val="0"/>
          <w:color w:val="000000"/>
          <w:position w:val="0"/>
        </w:rPr>
        <w:t>а:</w:t>
        <w:tab/>
        <w:tab/>
      </w:r>
    </w:p>
    <w:tbl>
      <w:tblPr>
        <w:tblOverlap w:val="never"/>
        <w:tblLayout w:type="fixed"/>
        <w:jc w:val="center"/>
      </w:tblPr>
      <w:tblGrid>
        <w:gridCol w:w="1824"/>
        <w:gridCol w:w="5030"/>
        <w:gridCol w:w="2875"/>
      </w:tblGrid>
      <w:tr>
        <w:trPr>
          <w:trHeight w:val="312" w:hRule="exact"/>
        </w:trPr>
        <w:tc>
          <w:tcPr>
            <w:shd w:val="clear" w:color="auto" w:fill="FFFFFF"/>
            <w:tcBorders>
              <w:left w:val="single" w:sz="4"/>
              <w:top w:val="single" w:sz="4"/>
            </w:tcBorders>
            <w:vAlign w:val="top"/>
          </w:tcPr>
          <w:p>
            <w:pPr>
              <w:framePr w:w="973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9"/>
              <w:framePr w:w="973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2"/>
              </w:rPr>
              <w:t>Наименование документа</w:t>
            </w:r>
          </w:p>
        </w:tc>
        <w:tc>
          <w:tcPr>
            <w:shd w:val="clear" w:color="auto" w:fill="FFFFFF"/>
            <w:tcBorders>
              <w:left w:val="single" w:sz="4"/>
              <w:right w:val="single" w:sz="4"/>
              <w:top w:val="single" w:sz="4"/>
            </w:tcBorders>
            <w:vAlign w:val="bottom"/>
          </w:tcPr>
          <w:p>
            <w:pPr>
              <w:pStyle w:val="Style9"/>
              <w:framePr w:w="973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2"/>
              </w:rPr>
              <w:t>Кто оформляет</w:t>
            </w:r>
          </w:p>
        </w:tc>
      </w:tr>
      <w:tr>
        <w:trPr>
          <w:trHeight w:val="250" w:hRule="exact"/>
        </w:trPr>
        <w:tc>
          <w:tcPr>
            <w:shd w:val="clear" w:color="auto" w:fill="FFFFFF"/>
            <w:tcBorders>
              <w:left w:val="single" w:sz="4"/>
              <w:top w:val="single" w:sz="4"/>
            </w:tcBorders>
            <w:vAlign w:val="bottom"/>
          </w:tcPr>
          <w:p>
            <w:pPr>
              <w:pStyle w:val="Style9"/>
              <w:framePr w:w="9730"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22"/>
              </w:rPr>
              <w:t>Приложение №1</w:t>
            </w:r>
          </w:p>
        </w:tc>
        <w:tc>
          <w:tcPr>
            <w:shd w:val="clear" w:color="auto" w:fill="FFFFFF"/>
            <w:tcBorders>
              <w:left w:val="single" w:sz="4"/>
              <w:top w:val="single" w:sz="4"/>
            </w:tcBorders>
            <w:vAlign w:val="bottom"/>
          </w:tcPr>
          <w:p>
            <w:pPr>
              <w:pStyle w:val="Style9"/>
              <w:framePr w:w="9730" w:wrap="notBeside" w:vAnchor="text" w:hAnchor="text" w:xAlign="center" w:y="1"/>
              <w:widowControl w:val="0"/>
              <w:keepNext w:val="0"/>
              <w:keepLines w:val="0"/>
              <w:shd w:val="clear" w:color="auto" w:fill="auto"/>
              <w:bidi w:val="0"/>
              <w:jc w:val="left"/>
              <w:spacing w:before="0" w:after="0" w:line="190" w:lineRule="exact"/>
              <w:ind w:left="60" w:right="0" w:firstLine="0"/>
            </w:pPr>
            <w:r>
              <w:rPr>
                <w:rStyle w:val="CharStyle22"/>
              </w:rPr>
              <w:t>Техническое задание</w:t>
            </w:r>
          </w:p>
        </w:tc>
        <w:tc>
          <w:tcPr>
            <w:shd w:val="clear" w:color="auto" w:fill="FFFFFF"/>
            <w:tcBorders>
              <w:left w:val="single" w:sz="4"/>
              <w:right w:val="single" w:sz="4"/>
              <w:top w:val="single" w:sz="4"/>
            </w:tcBorders>
            <w:vAlign w:val="bottom"/>
          </w:tcPr>
          <w:p>
            <w:pPr>
              <w:pStyle w:val="Style9"/>
              <w:framePr w:w="973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2"/>
              </w:rPr>
              <w:t>Муниципальный заказчик</w:t>
            </w:r>
          </w:p>
        </w:tc>
      </w:tr>
      <w:tr>
        <w:trPr>
          <w:trHeight w:val="269" w:hRule="exact"/>
        </w:trPr>
        <w:tc>
          <w:tcPr>
            <w:shd w:val="clear" w:color="auto" w:fill="FFFFFF"/>
            <w:tcBorders>
              <w:left w:val="single" w:sz="4"/>
              <w:top w:val="single" w:sz="4"/>
            </w:tcBorders>
            <w:vAlign w:val="bottom"/>
          </w:tcPr>
          <w:p>
            <w:pPr>
              <w:pStyle w:val="Style9"/>
              <w:framePr w:w="9730"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22"/>
              </w:rPr>
              <w:t>Приложение № 2</w:t>
            </w:r>
          </w:p>
        </w:tc>
        <w:tc>
          <w:tcPr>
            <w:shd w:val="clear" w:color="auto" w:fill="FFFFFF"/>
            <w:tcBorders>
              <w:left w:val="single" w:sz="4"/>
              <w:top w:val="single" w:sz="4"/>
            </w:tcBorders>
            <w:vAlign w:val="bottom"/>
          </w:tcPr>
          <w:p>
            <w:pPr>
              <w:pStyle w:val="Style9"/>
              <w:framePr w:w="9730" w:wrap="notBeside" w:vAnchor="text" w:hAnchor="text" w:xAlign="center" w:y="1"/>
              <w:widowControl w:val="0"/>
              <w:keepNext w:val="0"/>
              <w:keepLines w:val="0"/>
              <w:shd w:val="clear" w:color="auto" w:fill="auto"/>
              <w:bidi w:val="0"/>
              <w:jc w:val="left"/>
              <w:spacing w:before="0" w:after="0" w:line="190" w:lineRule="exact"/>
              <w:ind w:left="60" w:right="0" w:firstLine="0"/>
            </w:pPr>
            <w:r>
              <w:rPr>
                <w:rStyle w:val="CharStyle22"/>
              </w:rPr>
              <w:t>Состав проектной документации</w:t>
            </w:r>
          </w:p>
        </w:tc>
        <w:tc>
          <w:tcPr>
            <w:shd w:val="clear" w:color="auto" w:fill="FFFFFF"/>
            <w:tcBorders>
              <w:left w:val="single" w:sz="4"/>
              <w:right w:val="single" w:sz="4"/>
              <w:top w:val="single" w:sz="4"/>
            </w:tcBorders>
            <w:vAlign w:val="bottom"/>
          </w:tcPr>
          <w:p>
            <w:pPr>
              <w:pStyle w:val="Style9"/>
              <w:framePr w:w="973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2"/>
              </w:rPr>
              <w:t>Муниципальный заказчик</w:t>
            </w:r>
          </w:p>
        </w:tc>
      </w:tr>
      <w:tr>
        <w:trPr>
          <w:trHeight w:val="326" w:hRule="exact"/>
        </w:trPr>
        <w:tc>
          <w:tcPr>
            <w:shd w:val="clear" w:color="auto" w:fill="FFFFFF"/>
            <w:tcBorders>
              <w:left w:val="single" w:sz="4"/>
              <w:top w:val="single" w:sz="4"/>
            </w:tcBorders>
            <w:vAlign w:val="top"/>
          </w:tcPr>
          <w:p>
            <w:pPr>
              <w:pStyle w:val="Style9"/>
              <w:framePr w:w="9730"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22"/>
              </w:rPr>
              <w:t>Приложение № 3</w:t>
            </w:r>
          </w:p>
        </w:tc>
        <w:tc>
          <w:tcPr>
            <w:shd w:val="clear" w:color="auto" w:fill="FFFFFF"/>
            <w:tcBorders>
              <w:left w:val="single" w:sz="4"/>
              <w:top w:val="single" w:sz="4"/>
            </w:tcBorders>
            <w:vAlign w:val="top"/>
          </w:tcPr>
          <w:p>
            <w:pPr>
              <w:pStyle w:val="Style9"/>
              <w:framePr w:w="9730" w:wrap="notBeside" w:vAnchor="text" w:hAnchor="text" w:xAlign="center" w:y="1"/>
              <w:widowControl w:val="0"/>
              <w:keepNext w:val="0"/>
              <w:keepLines w:val="0"/>
              <w:shd w:val="clear" w:color="auto" w:fill="auto"/>
              <w:bidi w:val="0"/>
              <w:jc w:val="left"/>
              <w:spacing w:before="0" w:after="0" w:line="190" w:lineRule="exact"/>
              <w:ind w:left="60" w:right="0" w:firstLine="0"/>
            </w:pPr>
            <w:r>
              <w:rPr>
                <w:rStyle w:val="CharStyle22"/>
              </w:rPr>
              <w:t>Состав сметной документации</w:t>
            </w:r>
          </w:p>
        </w:tc>
        <w:tc>
          <w:tcPr>
            <w:shd w:val="clear" w:color="auto" w:fill="FFFFFF"/>
            <w:tcBorders>
              <w:left w:val="single" w:sz="4"/>
              <w:right w:val="single" w:sz="4"/>
              <w:top w:val="single" w:sz="4"/>
            </w:tcBorders>
            <w:vAlign w:val="top"/>
          </w:tcPr>
          <w:p>
            <w:pPr>
              <w:pStyle w:val="Style9"/>
              <w:framePr w:w="973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2"/>
              </w:rPr>
              <w:t>Муниципальный заказчик</w:t>
            </w:r>
          </w:p>
        </w:tc>
      </w:tr>
      <w:tr>
        <w:trPr>
          <w:trHeight w:val="490" w:hRule="exact"/>
        </w:trPr>
        <w:tc>
          <w:tcPr>
            <w:shd w:val="clear" w:color="auto" w:fill="FFFFFF"/>
            <w:tcBorders>
              <w:left w:val="single" w:sz="4"/>
              <w:top w:val="single" w:sz="4"/>
            </w:tcBorders>
            <w:vAlign w:val="top"/>
          </w:tcPr>
          <w:p>
            <w:pPr>
              <w:pStyle w:val="Style9"/>
              <w:framePr w:w="9730"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22"/>
              </w:rPr>
              <w:t>Приложение № 4</w:t>
            </w:r>
          </w:p>
        </w:tc>
        <w:tc>
          <w:tcPr>
            <w:shd w:val="clear" w:color="auto" w:fill="FFFFFF"/>
            <w:tcBorders>
              <w:left w:val="single" w:sz="4"/>
              <w:top w:val="single" w:sz="4"/>
            </w:tcBorders>
            <w:vAlign w:val="bottom"/>
          </w:tcPr>
          <w:p>
            <w:pPr>
              <w:pStyle w:val="Style9"/>
              <w:framePr w:w="9730" w:wrap="notBeside" w:vAnchor="text" w:hAnchor="text" w:xAlign="center" w:y="1"/>
              <w:widowControl w:val="0"/>
              <w:keepNext w:val="0"/>
              <w:keepLines w:val="0"/>
              <w:shd w:val="clear" w:color="auto" w:fill="auto"/>
              <w:bidi w:val="0"/>
              <w:jc w:val="left"/>
              <w:spacing w:before="0" w:after="0" w:line="245" w:lineRule="exact"/>
              <w:ind w:left="60" w:right="0" w:firstLine="0"/>
            </w:pPr>
            <w:r>
              <w:rPr>
                <w:rStyle w:val="CharStyle23"/>
              </w:rPr>
              <w:t>График выполнения строительно-монтажных работ</w:t>
            </w:r>
          </w:p>
        </w:tc>
        <w:tc>
          <w:tcPr>
            <w:shd w:val="clear" w:color="auto" w:fill="FFFFFF"/>
            <w:tcBorders>
              <w:left w:val="single" w:sz="4"/>
              <w:right w:val="single" w:sz="4"/>
              <w:top w:val="single" w:sz="4"/>
            </w:tcBorders>
            <w:vAlign w:val="top"/>
          </w:tcPr>
          <w:p>
            <w:pPr>
              <w:pStyle w:val="Style9"/>
              <w:framePr w:w="9730"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22"/>
              </w:rPr>
              <w:t>Подрядчик</w:t>
            </w:r>
          </w:p>
        </w:tc>
      </w:tr>
      <w:tr>
        <w:trPr>
          <w:trHeight w:val="293" w:hRule="exact"/>
        </w:trPr>
        <w:tc>
          <w:tcPr>
            <w:shd w:val="clear" w:color="auto" w:fill="FFFFFF"/>
            <w:tcBorders>
              <w:left w:val="single" w:sz="4"/>
              <w:top w:val="single" w:sz="4"/>
            </w:tcBorders>
            <w:vAlign w:val="bottom"/>
          </w:tcPr>
          <w:p>
            <w:pPr>
              <w:pStyle w:val="Style9"/>
              <w:framePr w:w="9730"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22"/>
              </w:rPr>
              <w:t>Приложение № 5</w:t>
            </w:r>
          </w:p>
        </w:tc>
        <w:tc>
          <w:tcPr>
            <w:shd w:val="clear" w:color="auto" w:fill="FFFFFF"/>
            <w:tcBorders>
              <w:left w:val="single" w:sz="4"/>
              <w:top w:val="single" w:sz="4"/>
            </w:tcBorders>
            <w:vAlign w:val="bottom"/>
          </w:tcPr>
          <w:p>
            <w:pPr>
              <w:pStyle w:val="Style9"/>
              <w:framePr w:w="9730"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3"/>
              </w:rPr>
              <w:t>График оплаты выполненных по Контракту работ</w:t>
            </w:r>
          </w:p>
        </w:tc>
        <w:tc>
          <w:tcPr>
            <w:shd w:val="clear" w:color="auto" w:fill="FFFFFF"/>
            <w:tcBorders>
              <w:left w:val="single" w:sz="4"/>
              <w:right w:val="single" w:sz="4"/>
              <w:top w:val="single" w:sz="4"/>
            </w:tcBorders>
            <w:vAlign w:val="bottom"/>
          </w:tcPr>
          <w:p>
            <w:pPr>
              <w:pStyle w:val="Style9"/>
              <w:framePr w:w="973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2"/>
              </w:rPr>
              <w:t>Муниципальный заказчик</w:t>
            </w:r>
          </w:p>
        </w:tc>
      </w:tr>
      <w:tr>
        <w:trPr>
          <w:trHeight w:val="504" w:hRule="exact"/>
        </w:trPr>
        <w:tc>
          <w:tcPr>
            <w:shd w:val="clear" w:color="auto" w:fill="FFFFFF"/>
            <w:tcBorders>
              <w:left w:val="single" w:sz="4"/>
              <w:top w:val="single" w:sz="4"/>
              <w:bottom w:val="single" w:sz="4"/>
            </w:tcBorders>
            <w:vAlign w:val="top"/>
          </w:tcPr>
          <w:p>
            <w:pPr>
              <w:pStyle w:val="Style9"/>
              <w:framePr w:w="9730"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22"/>
              </w:rPr>
              <w:t>Приложение № 6</w:t>
            </w:r>
          </w:p>
        </w:tc>
        <w:tc>
          <w:tcPr>
            <w:shd w:val="clear" w:color="auto" w:fill="FFFFFF"/>
            <w:tcBorders>
              <w:left w:val="single" w:sz="4"/>
              <w:top w:val="single" w:sz="4"/>
              <w:bottom w:val="single" w:sz="4"/>
            </w:tcBorders>
            <w:vAlign w:val="top"/>
          </w:tcPr>
          <w:p>
            <w:pPr>
              <w:pStyle w:val="Style9"/>
              <w:framePr w:w="9730" w:wrap="notBeside" w:vAnchor="text" w:hAnchor="text" w:xAlign="center" w:y="1"/>
              <w:widowControl w:val="0"/>
              <w:keepNext w:val="0"/>
              <w:keepLines w:val="0"/>
              <w:shd w:val="clear" w:color="auto" w:fill="auto"/>
              <w:bidi w:val="0"/>
              <w:jc w:val="left"/>
              <w:spacing w:before="0" w:after="0" w:line="245" w:lineRule="exact"/>
              <w:ind w:left="60" w:right="0" w:firstLine="0"/>
            </w:pPr>
            <w:r>
              <w:rPr>
                <w:rStyle w:val="CharStyle22"/>
              </w:rPr>
              <w:t>Виды и объемы работ которые Подрядчик обязан выполнить самостоятельно</w:t>
            </w:r>
          </w:p>
        </w:tc>
        <w:tc>
          <w:tcPr>
            <w:shd w:val="clear" w:color="auto" w:fill="FFFFFF"/>
            <w:tcBorders>
              <w:left w:val="single" w:sz="4"/>
              <w:right w:val="single" w:sz="4"/>
              <w:top w:val="single" w:sz="4"/>
              <w:bottom w:val="single" w:sz="4"/>
            </w:tcBorders>
            <w:vAlign w:val="top"/>
          </w:tcPr>
          <w:p>
            <w:pPr>
              <w:pStyle w:val="Style9"/>
              <w:framePr w:w="9730"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22"/>
              </w:rPr>
              <w:t>Подрядчик</w:t>
            </w:r>
          </w:p>
        </w:tc>
      </w:tr>
    </w:tbl>
    <w:p>
      <w:pPr>
        <w:widowControl w:val="0"/>
        <w:rPr>
          <w:sz w:val="2"/>
          <w:szCs w:val="2"/>
        </w:rPr>
      </w:pPr>
    </w:p>
    <w:p>
      <w:pPr>
        <w:pStyle w:val="Style9"/>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При этом, Комиссия Управления отмечает, что графики, являющиеся приложением №4 и №5 оформлены Заказчиком в табличной форме, однако в данных графиках отсутствует информация, указание которой обязательно в соответствии с требованиями Приказа Минстроя России от 05.06.2018 № 336/пр.</w:t>
      </w:r>
    </w:p>
    <w:p>
      <w:pPr>
        <w:pStyle w:val="Style9"/>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На основании вышеизложенного, Комиссия Управления пришла к выводу о наличии в действиях Заказчика, Уполномоченного органа нарушения частей 5, 6, 7 статьи 110.2 Закона о контрактной системе.</w:t>
      </w:r>
    </w:p>
    <w:p>
      <w:pPr>
        <w:pStyle w:val="Style9"/>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w:t>
        <w:br w:type="page"/>
        <w:t>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9"/>
        <w:widowControl w:val="0"/>
        <w:keepNext w:val="0"/>
        <w:keepLines w:val="0"/>
        <w:shd w:val="clear" w:color="auto" w:fill="auto"/>
        <w:bidi w:val="0"/>
        <w:spacing w:before="0" w:after="0"/>
        <w:ind w:left="40" w:right="80" w:firstLine="600"/>
      </w:pPr>
      <w:r>
        <w:rPr>
          <w:lang w:val="ru-RU" w:eastAsia="ru-RU" w:bidi="ru-RU"/>
          <w:w w:val="100"/>
          <w:spacing w:val="0"/>
          <w:color w:val="000000"/>
          <w:position w:val="0"/>
        </w:rPr>
        <w:t>Таким образом, Комиссия Управления пришла к выводу о необходимости выдачи обязательного для исполнения предписания об устранении выявленных нарушений.</w:t>
      </w:r>
    </w:p>
    <w:p>
      <w:pPr>
        <w:pStyle w:val="Style9"/>
        <w:widowControl w:val="0"/>
        <w:keepNext w:val="0"/>
        <w:keepLines w:val="0"/>
        <w:shd w:val="clear" w:color="auto" w:fill="auto"/>
        <w:bidi w:val="0"/>
        <w:spacing w:before="0" w:after="0"/>
        <w:ind w:left="40" w:right="80" w:firstLine="600"/>
      </w:pPr>
      <w:r>
        <w:rPr>
          <w:lang w:val="ru-RU" w:eastAsia="ru-RU" w:bidi="ru-RU"/>
          <w:w w:val="100"/>
          <w:spacing w:val="0"/>
          <w:color w:val="000000"/>
          <w:position w:val="0"/>
        </w:rPr>
        <w:t>Вышеизложенное соответствует требованиям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9"/>
        <w:widowControl w:val="0"/>
        <w:keepNext w:val="0"/>
        <w:keepLines w:val="0"/>
        <w:shd w:val="clear" w:color="auto" w:fill="auto"/>
        <w:bidi w:val="0"/>
        <w:spacing w:before="0" w:after="95"/>
        <w:ind w:left="40" w:right="80" w:firstLine="6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left"/>
        <w:spacing w:before="0" w:after="16" w:line="230" w:lineRule="exact"/>
        <w:ind w:left="5020" w:right="0" w:firstLine="0"/>
      </w:pPr>
      <w:r>
        <w:rPr>
          <w:lang w:val="ru-RU" w:eastAsia="ru-RU" w:bidi="ru-RU"/>
          <w:w w:val="100"/>
          <w:spacing w:val="0"/>
          <w:color w:val="000000"/>
          <w:position w:val="0"/>
        </w:rPr>
        <w:t>Решила:</w:t>
      </w:r>
    </w:p>
    <w:p>
      <w:pPr>
        <w:pStyle w:val="Style9"/>
        <w:numPr>
          <w:ilvl w:val="0"/>
          <w:numId w:val="19"/>
        </w:numPr>
        <w:widowControl w:val="0"/>
        <w:keepNext w:val="0"/>
        <w:keepLines w:val="0"/>
        <w:shd w:val="clear" w:color="auto" w:fill="auto"/>
        <w:bidi w:val="0"/>
        <w:spacing w:before="0" w:after="0"/>
        <w:ind w:left="40" w:right="80" w:firstLine="600"/>
      </w:pPr>
      <w:r>
        <w:rPr>
          <w:lang w:val="ru-RU" w:eastAsia="ru-RU" w:bidi="ru-RU"/>
          <w:w w:val="100"/>
          <w:spacing w:val="0"/>
          <w:color w:val="000000"/>
          <w:position w:val="0"/>
        </w:rPr>
        <w:t xml:space="preserve"> Признать жалобу ООО «МОНОЛИТСТРОЙМОНТАЖ» (ИНН 7811219396 , ОГРН 1157847254730) от 11.06.2019 №1038-ж на действия Заказчика - Муниципального учреждения управление капитального строительства Кондинского района , Уполномоченного органа - Администрации Кондинского района, при проведении электронного аукциона, предметом которого является выполнение работ по строительству объекта: «ВОС на 200 мЗ/сут. в с. Леуши Кондинского района Ханты-Мансийского автономного округа -Югры» (извещение №0187300003519000205) частично обоснованной.</w:t>
      </w:r>
    </w:p>
    <w:p>
      <w:pPr>
        <w:pStyle w:val="Style9"/>
        <w:numPr>
          <w:ilvl w:val="0"/>
          <w:numId w:val="19"/>
        </w:numPr>
        <w:widowControl w:val="0"/>
        <w:keepNext w:val="0"/>
        <w:keepLines w:val="0"/>
        <w:shd w:val="clear" w:color="auto" w:fill="auto"/>
        <w:bidi w:val="0"/>
        <w:spacing w:before="0" w:after="0"/>
        <w:ind w:left="40" w:right="80" w:firstLine="600"/>
      </w:pPr>
      <w:r>
        <w:rPr>
          <w:lang w:val="ru-RU" w:eastAsia="ru-RU" w:bidi="ru-RU"/>
          <w:w w:val="100"/>
          <w:spacing w:val="0"/>
          <w:color w:val="000000"/>
          <w:position w:val="0"/>
        </w:rPr>
        <w:t xml:space="preserve"> Признать в действиях Заказчика - Муниципального учреждения управление капитального строительства Кондинского района , Уполномоченного органа - Администрации Кондинского района нарушения частей 3, 4 статьи 31 Закона о контрактной системе и пункта 2 Постановления</w:t>
      </w:r>
    </w:p>
    <w:p>
      <w:pPr>
        <w:pStyle w:val="Style9"/>
        <w:widowControl w:val="0"/>
        <w:keepNext w:val="0"/>
        <w:keepLines w:val="0"/>
        <w:shd w:val="clear" w:color="auto" w:fill="auto"/>
        <w:bidi w:val="0"/>
        <w:spacing w:before="0" w:after="0" w:line="220" w:lineRule="exact"/>
        <w:ind w:left="40" w:right="0" w:firstLine="0"/>
      </w:pPr>
      <w:r>
        <w:rPr>
          <w:lang w:val="ru-RU" w:eastAsia="ru-RU" w:bidi="ru-RU"/>
          <w:w w:val="100"/>
          <w:spacing w:val="0"/>
          <w:color w:val="000000"/>
          <w:position w:val="0"/>
        </w:rPr>
        <w:t>№99.</w:t>
      </w:r>
    </w:p>
    <w:p>
      <w:pPr>
        <w:pStyle w:val="Style9"/>
        <w:numPr>
          <w:ilvl w:val="0"/>
          <w:numId w:val="19"/>
        </w:numPr>
        <w:widowControl w:val="0"/>
        <w:keepNext w:val="0"/>
        <w:keepLines w:val="0"/>
        <w:shd w:val="clear" w:color="auto" w:fill="auto"/>
        <w:bidi w:val="0"/>
        <w:spacing w:before="0" w:after="0"/>
        <w:ind w:left="40" w:right="80" w:firstLine="600"/>
      </w:pPr>
      <w:r>
        <w:rPr>
          <w:lang w:val="ru-RU" w:eastAsia="ru-RU" w:bidi="ru-RU"/>
          <w:w w:val="100"/>
          <w:spacing w:val="0"/>
          <w:color w:val="000000"/>
          <w:position w:val="0"/>
        </w:rPr>
        <w:t xml:space="preserve"> Признать в действиях Заказчика - Муниципального учреждения управление капитального строительства Кондинского района , Уполномоченного органа - Администрации Кондинского района нарушения частей 3 статьи 7 Закона о контрактной системе.</w:t>
      </w:r>
    </w:p>
    <w:p>
      <w:pPr>
        <w:pStyle w:val="Style9"/>
        <w:numPr>
          <w:ilvl w:val="0"/>
          <w:numId w:val="19"/>
        </w:numPr>
        <w:widowControl w:val="0"/>
        <w:keepNext w:val="0"/>
        <w:keepLines w:val="0"/>
        <w:shd w:val="clear" w:color="auto" w:fill="auto"/>
        <w:bidi w:val="0"/>
        <w:spacing w:before="0" w:after="0"/>
        <w:ind w:left="40" w:right="80" w:firstLine="600"/>
      </w:pPr>
      <w:r>
        <w:rPr>
          <w:lang w:val="ru-RU" w:eastAsia="ru-RU" w:bidi="ru-RU"/>
          <w:w w:val="100"/>
          <w:spacing w:val="0"/>
          <w:color w:val="000000"/>
          <w:position w:val="0"/>
        </w:rPr>
        <w:t xml:space="preserve"> Признать в действиях Заказчика - Муниципального учреждения управление капитального строительства Кондинского района , Уполномоченного органа - Администрации Кондинского района нарушения частей 5, 6, 7 статьи 110.2 Закона о контрактной системе.</w:t>
      </w:r>
    </w:p>
    <w:p>
      <w:pPr>
        <w:pStyle w:val="Style9"/>
        <w:numPr>
          <w:ilvl w:val="0"/>
          <w:numId w:val="19"/>
        </w:numPr>
        <w:widowControl w:val="0"/>
        <w:keepNext w:val="0"/>
        <w:keepLines w:val="0"/>
        <w:shd w:val="clear" w:color="auto" w:fill="auto"/>
        <w:bidi w:val="0"/>
        <w:spacing w:before="0" w:after="0"/>
        <w:ind w:left="40" w:right="0" w:firstLine="600"/>
      </w:pPr>
      <w:r>
        <w:rPr>
          <w:lang w:val="ru-RU" w:eastAsia="ru-RU" w:bidi="ru-RU"/>
          <w:w w:val="100"/>
          <w:spacing w:val="0"/>
          <w:color w:val="000000"/>
          <w:position w:val="0"/>
        </w:rPr>
        <w:t xml:space="preserve"> Выдать обязательное для исполнения предписание об устранении выявленных нарушений.</w:t>
      </w:r>
    </w:p>
    <w:p>
      <w:pPr>
        <w:pStyle w:val="Style9"/>
        <w:numPr>
          <w:ilvl w:val="0"/>
          <w:numId w:val="19"/>
        </w:numPr>
        <w:widowControl w:val="0"/>
        <w:keepNext w:val="0"/>
        <w:keepLines w:val="0"/>
        <w:shd w:val="clear" w:color="auto" w:fill="auto"/>
        <w:bidi w:val="0"/>
        <w:spacing w:before="0" w:after="0"/>
        <w:ind w:left="40" w:right="80" w:firstLine="600"/>
      </w:pPr>
      <w:r>
        <w:rPr>
          <w:lang w:val="ru-RU" w:eastAsia="ru-RU" w:bidi="ru-RU"/>
          <w:w w:val="100"/>
          <w:spacing w:val="0"/>
          <w:color w:val="000000"/>
          <w:position w:val="0"/>
        </w:rPr>
        <w:t xml:space="preserve"> Передать уполномоченному должностному лицу Ханты-Мансийского У 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9"/>
        <w:framePr w:h="203" w:wrap="around" w:vAnchor="text" w:hAnchor="margin" w:x="7996" w:y="822"/>
        <w:widowControl w:val="0"/>
        <w:keepNext w:val="0"/>
        <w:keepLines w:val="0"/>
        <w:shd w:val="clear" w:color="auto" w:fill="auto"/>
        <w:bidi w:val="0"/>
        <w:jc w:val="left"/>
        <w:spacing w:before="0" w:after="0" w:line="200" w:lineRule="exact"/>
        <w:ind w:left="100" w:right="0" w:firstLine="0"/>
      </w:pPr>
      <w:r>
        <w:rPr>
          <w:rStyle w:val="CharStyle10"/>
          <w:spacing w:val="0"/>
        </w:rPr>
        <w:t>Иванов В.П.</w:t>
      </w:r>
    </w:p>
    <w:p>
      <w:pPr>
        <w:pStyle w:val="Style9"/>
        <w:numPr>
          <w:ilvl w:val="0"/>
          <w:numId w:val="19"/>
        </w:numPr>
        <w:widowControl w:val="0"/>
        <w:keepNext w:val="0"/>
        <w:keepLines w:val="0"/>
        <w:shd w:val="clear" w:color="auto" w:fill="auto"/>
        <w:bidi w:val="0"/>
        <w:spacing w:before="0" w:after="283"/>
        <w:ind w:left="40" w:right="80" w:firstLine="60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9"/>
        <w:framePr w:h="216" w:vSpace="336" w:wrap="around" w:vAnchor="text" w:hAnchor="margin" w:x="8001" w:y="539"/>
        <w:widowControl w:val="0"/>
        <w:keepNext w:val="0"/>
        <w:keepLines w:val="0"/>
        <w:shd w:val="clear" w:color="auto" w:fill="auto"/>
        <w:bidi w:val="0"/>
        <w:jc w:val="left"/>
        <w:spacing w:before="0" w:after="0" w:line="200" w:lineRule="exact"/>
        <w:ind w:left="100" w:right="0" w:firstLine="0"/>
      </w:pPr>
      <w:r>
        <w:rPr>
          <w:rStyle w:val="CharStyle10"/>
          <w:spacing w:val="0"/>
        </w:rPr>
        <w:t>Капаклы А.Д.</w:t>
      </w:r>
    </w:p>
    <w:p>
      <w:pPr>
        <w:pStyle w:val="Style9"/>
        <w:widowControl w:val="0"/>
        <w:keepNext w:val="0"/>
        <w:keepLines w:val="0"/>
        <w:shd w:val="clear" w:color="auto" w:fill="auto"/>
        <w:bidi w:val="0"/>
        <w:spacing w:before="0" w:after="243" w:line="220" w:lineRule="exact"/>
        <w:ind w:left="4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spacing w:before="0" w:after="243" w:line="220" w:lineRule="exact"/>
        <w:ind w:left="40" w:right="0" w:firstLine="0"/>
      </w:pPr>
      <w:r>
        <w:rPr>
          <w:lang w:val="ru-RU" w:eastAsia="ru-RU" w:bidi="ru-RU"/>
          <w:w w:val="100"/>
          <w:spacing w:val="0"/>
          <w:color w:val="000000"/>
          <w:position w:val="0"/>
        </w:rPr>
        <w:t>Члены Комиссии:</w:t>
      </w:r>
    </w:p>
    <w:p>
      <w:pPr>
        <w:pStyle w:val="Style9"/>
        <w:widowControl w:val="0"/>
        <w:keepNext w:val="0"/>
        <w:keepLines w:val="0"/>
        <w:shd w:val="clear" w:color="auto" w:fill="auto"/>
        <w:bidi w:val="0"/>
        <w:jc w:val="right"/>
        <w:spacing w:before="0" w:after="206" w:line="220" w:lineRule="exact"/>
        <w:ind w:left="0" w:right="80" w:firstLine="0"/>
      </w:pPr>
      <w:r>
        <w:rPr>
          <w:lang w:val="ru-RU" w:eastAsia="ru-RU" w:bidi="ru-RU"/>
          <w:w w:val="100"/>
          <w:spacing w:val="0"/>
          <w:color w:val="000000"/>
          <w:position w:val="0"/>
        </w:rPr>
        <w:t>Тохтахунов О.Х.</w:t>
      </w:r>
    </w:p>
    <w:p>
      <w:pPr>
        <w:pStyle w:val="Style24"/>
        <w:tabs>
          <w:tab w:leader="none" w:pos="6078" w:val="right"/>
          <w:tab w:leader="none" w:pos="7576" w:val="right"/>
          <w:tab w:leader="none" w:pos="8368" w:val="right"/>
          <w:tab w:leader="none" w:pos="8513"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Примечание: В соответствии с частью 9</w:t>
      </w:r>
      <w:r>
        <w:rPr>
          <w:rStyle w:val="CharStyle26"/>
          <w:b/>
          <w:bCs/>
          <w:i w:val="0"/>
          <w:iCs w:val="0"/>
        </w:rPr>
        <w:t xml:space="preserve"> &lt;</w:t>
        <w:tab/>
        <w:t>,</w:t>
        <w:tab/>
      </w:r>
      <w:r>
        <w:rPr>
          <w:lang w:val="ru-RU" w:eastAsia="ru-RU" w:bidi="ru-RU"/>
          <w:w w:val="100"/>
          <w:spacing w:val="0"/>
          <w:color w:val="000000"/>
          <w:position w:val="0"/>
        </w:rPr>
        <w:t>системе</w:t>
        <w:tab/>
        <w:t>решение,</w:t>
        <w:tab/>
        <w:t>принятое по</w:t>
      </w:r>
    </w:p>
    <w:p>
      <w:pPr>
        <w:pStyle w:val="Style24"/>
        <w:widowControl w:val="0"/>
        <w:keepNext w:val="0"/>
        <w:keepLines w:val="0"/>
        <w:shd w:val="clear" w:color="auto" w:fill="auto"/>
        <w:bidi w:val="0"/>
        <w:spacing w:before="0" w:after="0"/>
        <w:ind w:left="40" w:right="80" w:firstLine="0"/>
      </w:pPr>
      <w:r>
        <w:rPr>
          <w:lang w:val="ru-RU" w:eastAsia="ru-RU" w:bidi="ru-RU"/>
          <w:w w:val="100"/>
          <w:spacing w:val="0"/>
          <w:color w:val="000000"/>
          <w:position w:val="0"/>
        </w:rPr>
        <w:t>результатам рассмотрения жалобы по существу может быть обжаловано в судебном порядке в течение трех месяцев со дня его принятия.</w:t>
      </w:r>
      <w:r>
        <w:br w:type="page"/>
      </w:r>
    </w:p>
    <w:p>
      <w:pPr>
        <w:pStyle w:val="Style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Оператор электронной площадки:</w:t>
      </w:r>
    </w:p>
    <w:p>
      <w:pPr>
        <w:pStyle w:val="Style9"/>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ЗАО "Сбербанк</w:t>
      </w:r>
      <w:r>
        <w:rPr>
          <w:lang w:val="en-US" w:eastAsia="en-US" w:bidi="en-US"/>
          <w:w w:val="100"/>
          <w:spacing w:val="0"/>
          <w:color w:val="000000"/>
          <w:position w:val="0"/>
        </w:rPr>
        <w:t>-ACT"</w:t>
      </w:r>
    </w:p>
    <w:p>
      <w:pPr>
        <w:pStyle w:val="Style9"/>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119435, г. Москва, Большой Саввинский переулок, д. 12, стр.9</w:t>
      </w:r>
    </w:p>
    <w:p>
      <w:pPr>
        <w:pStyle w:val="Style9"/>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тел.: (495) 7872999/97 доб. 369, Факс: (495) 7872998</w:t>
      </w:r>
    </w:p>
    <w:p>
      <w:pPr>
        <w:pStyle w:val="Style9"/>
        <w:widowControl w:val="0"/>
        <w:keepNext w:val="0"/>
        <w:keepLines w:val="0"/>
        <w:shd w:val="clear" w:color="auto" w:fill="auto"/>
        <w:bidi w:val="0"/>
        <w:spacing w:before="0" w:after="0"/>
        <w:ind w:left="40" w:right="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6"/>
        </w:rPr>
        <w:t>Заявитель:</w:t>
      </w:r>
    </w:p>
    <w:p>
      <w:pPr>
        <w:pStyle w:val="Style9"/>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ООО «МОНОЛИТСТРОЙМОНТАЖ»</w:t>
      </w:r>
    </w:p>
    <w:p>
      <w:pPr>
        <w:pStyle w:val="Style9"/>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195027, г. Санкт-Петербург, пр. Металлистов, 7, лит. А, оф. 414 тел: +7 (911) 119 1403 </w:t>
      </w:r>
      <w:r>
        <w:rPr>
          <w:lang w:val="en-US" w:eastAsia="en-US" w:bidi="en-US"/>
          <w:w w:val="100"/>
          <w:spacing w:val="0"/>
          <w:color w:val="000000"/>
          <w:position w:val="0"/>
        </w:rPr>
        <w:t xml:space="preserve">e-mail: </w:t>
      </w:r>
      <w:r>
        <w:fldChar w:fldCharType="begin"/>
      </w:r>
      <w:r>
        <w:rPr>
          <w:color w:val="000000"/>
        </w:rPr>
        <w:instrText> HYPERLINK "mailto:ms-montazh@inbox.ru" </w:instrText>
      </w:r>
      <w:r>
        <w:fldChar w:fldCharType="separate"/>
      </w:r>
      <w:r>
        <w:rPr>
          <w:rStyle w:val="Hyperlink"/>
          <w:lang w:val="en-US" w:eastAsia="en-US" w:bidi="en-US"/>
          <w:w w:val="100"/>
          <w:spacing w:val="0"/>
          <w:position w:val="0"/>
        </w:rPr>
        <w:t>ms-montazh@inbox.ru</w:t>
      </w:r>
      <w:r>
        <w:fldChar w:fldCharType="end"/>
      </w:r>
      <w:r>
        <w:rPr>
          <w:lang w:val="en-US" w:eastAsia="en-US" w:bidi="en-US"/>
          <w:w w:val="100"/>
          <w:spacing w:val="0"/>
          <w:color w:val="000000"/>
          <w:position w:val="0"/>
        </w:rPr>
        <w:t xml:space="preserve"> </w:t>
      </w:r>
      <w:r>
        <w:rPr>
          <w:rStyle w:val="CharStyle16"/>
        </w:rPr>
        <w:t>Заказчик:</w:t>
      </w:r>
    </w:p>
    <w:p>
      <w:pPr>
        <w:pStyle w:val="Style9"/>
        <w:framePr w:h="357" w:wrap="around" w:vAnchor="text" w:hAnchor="margin" w:x="515" w:y="534"/>
        <w:widowControl w:val="0"/>
        <w:keepNext w:val="0"/>
        <w:keepLines w:val="0"/>
        <w:shd w:val="clear" w:color="auto" w:fill="auto"/>
        <w:bidi w:val="0"/>
        <w:jc w:val="left"/>
        <w:spacing w:before="0" w:after="0" w:line="320" w:lineRule="exact"/>
        <w:ind w:left="100" w:right="0" w:firstLine="0"/>
      </w:pPr>
      <w:r>
        <w:rPr>
          <w:rStyle w:val="CharStyle11"/>
          <w:spacing w:val="-70"/>
        </w:rPr>
        <w:t>6</w:t>
      </w:r>
      <w:r>
        <w:rPr>
          <w:rStyle w:val="CharStyle12"/>
          <w:spacing w:val="-20"/>
        </w:rPr>
        <w:t xml:space="preserve">/. </w:t>
      </w:r>
      <w:r>
        <w:rPr>
          <w:rStyle w:val="CharStyle11"/>
          <w:spacing w:val="-70"/>
        </w:rPr>
        <w:t>06</w:t>
      </w:r>
      <w:r>
        <w:rPr>
          <w:rStyle w:val="CharStyle12"/>
          <w:spacing w:val="-20"/>
        </w:rPr>
        <w:t>.</w:t>
      </w:r>
      <w:r>
        <w:rPr>
          <w:rStyle w:val="CharStyle13"/>
          <w:spacing w:val="0"/>
        </w:rPr>
        <w:t xml:space="preserve"> 2019 г.</w:t>
      </w:r>
      <w:r>
        <w:rPr>
          <w:rStyle w:val="CharStyle10"/>
          <w:spacing w:val="0"/>
        </w:rPr>
        <w:t xml:space="preserve"> № </w:t>
      </w:r>
      <w:r>
        <w:rPr>
          <w:rStyle w:val="CharStyle13"/>
          <w:spacing w:val="0"/>
        </w:rPr>
        <w:t xml:space="preserve">03/КА- </w:t>
      </w:r>
      <w:r>
        <w:rPr>
          <w:rStyle w:val="CharStyle11"/>
          <w:spacing w:val="-70"/>
        </w:rPr>
        <w:t>66</w:t>
      </w:r>
      <w:r>
        <w:rPr>
          <w:rStyle w:val="CharStyle12"/>
          <w:spacing w:val="-20"/>
        </w:rPr>
        <w:t>/</w:t>
      </w:r>
      <w:r>
        <w:rPr>
          <w:rStyle w:val="CharStyle11"/>
          <w:spacing w:val="-70"/>
        </w:rPr>
        <w:t>6</w:t>
      </w:r>
      <w:r>
        <w:rPr>
          <w:rStyle w:val="CharStyle12"/>
          <w:spacing w:val="-20"/>
        </w:rPr>
        <w:t>?</w:t>
      </w:r>
    </w:p>
    <w:p>
      <w:pPr>
        <w:pStyle w:val="Style9"/>
        <w:widowControl w:val="0"/>
        <w:keepNext w:val="0"/>
        <w:keepLines w:val="0"/>
        <w:shd w:val="clear" w:color="auto" w:fill="auto"/>
        <w:bidi w:val="0"/>
        <w:spacing w:before="0" w:after="0" w:line="278" w:lineRule="exact"/>
        <w:ind w:left="40" w:right="0" w:firstLine="0"/>
      </w:pPr>
      <w:r>
        <w:rPr>
          <w:lang w:val="ru-RU" w:eastAsia="ru-RU" w:bidi="ru-RU"/>
          <w:w w:val="100"/>
          <w:spacing w:val="0"/>
          <w:color w:val="000000"/>
          <w:position w:val="0"/>
        </w:rPr>
        <w:t>Муниципальное учреждение управление капитального строительства Кондинского района</w:t>
      </w:r>
    </w:p>
    <w:p>
      <w:pPr>
        <w:pStyle w:val="Style9"/>
        <w:widowControl w:val="0"/>
        <w:keepNext w:val="0"/>
        <w:keepLines w:val="0"/>
        <w:shd w:val="clear" w:color="auto" w:fill="auto"/>
        <w:bidi w:val="0"/>
        <w:jc w:val="left"/>
        <w:spacing w:before="0" w:after="0"/>
        <w:ind w:left="4900" w:right="0"/>
      </w:pPr>
      <w:r>
        <w:rPr>
          <w:lang w:val="ru-RU" w:eastAsia="ru-RU" w:bidi="ru-RU"/>
          <w:w w:val="100"/>
          <w:spacing w:val="0"/>
          <w:color w:val="000000"/>
          <w:position w:val="0"/>
        </w:rPr>
        <w:t xml:space="preserve">628200, Ханты-Мансийский автономный округ - Югра, Кондинский р-н, пгт. Междуреченский, ул. Титова, д. 14 «А» тел: 7 (34677) 34-308 </w:t>
      </w:r>
      <w:r>
        <w:rPr>
          <w:rStyle w:val="CharStyle17"/>
          <w:lang w:val="en-US" w:eastAsia="en-US" w:bidi="en-US"/>
        </w:rPr>
        <w:t>e-mail</w:t>
      </w:r>
      <w:r>
        <w:rPr>
          <w:lang w:val="en-US" w:eastAsia="en-US" w:bidi="en-US"/>
          <w:w w:val="100"/>
          <w:spacing w:val="0"/>
          <w:color w:val="000000"/>
          <w:position w:val="0"/>
        </w:rPr>
        <w:t xml:space="preserve">: </w:t>
      </w:r>
      <w:r>
        <w:fldChar w:fldCharType="begin"/>
      </w:r>
      <w:r>
        <w:rPr>
          <w:color w:val="000000"/>
        </w:rPr>
        <w:instrText> HYPERLINK "mailto:uks@admkonda.ru" </w:instrText>
      </w:r>
      <w:r>
        <w:fldChar w:fldCharType="separate"/>
      </w:r>
      <w:r>
        <w:rPr>
          <w:rStyle w:val="Hyperlink"/>
          <w:lang w:val="en-US" w:eastAsia="en-US" w:bidi="en-US"/>
          <w:w w:val="100"/>
          <w:spacing w:val="0"/>
          <w:position w:val="0"/>
        </w:rPr>
        <w:t>uks@admkonda.ru</w:t>
      </w:r>
      <w:r>
        <w:fldChar w:fldCharType="end"/>
      </w:r>
      <w:r>
        <w:rPr>
          <w:lang w:val="en-US" w:eastAsia="en-US" w:bidi="en-US"/>
          <w:w w:val="100"/>
          <w:spacing w:val="0"/>
          <w:color w:val="000000"/>
          <w:position w:val="0"/>
        </w:rPr>
        <w:t xml:space="preserve"> </w:t>
      </w:r>
      <w:r>
        <w:rPr>
          <w:rStyle w:val="CharStyle16"/>
        </w:rPr>
        <w:t>Уполномоченный орган:</w:t>
      </w:r>
    </w:p>
    <w:p>
      <w:pPr>
        <w:pStyle w:val="Style9"/>
        <w:widowControl w:val="0"/>
        <w:keepNext w:val="0"/>
        <w:keepLines w:val="0"/>
        <w:shd w:val="clear" w:color="auto" w:fill="auto"/>
        <w:bidi w:val="0"/>
        <w:jc w:val="left"/>
        <w:spacing w:before="0" w:after="56"/>
        <w:ind w:left="4900" w:right="540" w:firstLine="0"/>
      </w:pPr>
      <w:r>
        <w:rPr>
          <w:lang w:val="ru-RU" w:eastAsia="ru-RU" w:bidi="ru-RU"/>
          <w:w w:val="100"/>
          <w:spacing w:val="0"/>
          <w:color w:val="000000"/>
          <w:position w:val="0"/>
        </w:rPr>
        <w:t xml:space="preserve">Администрации Кондинского района 628200, Ханты-Мансийский автономный округ - Югра, Кондинский р-н, пгт.Междуреченский, ул.Титова, д. 21 тел: 8 (34677) 32-731 </w:t>
      </w:r>
      <w:r>
        <w:rPr>
          <w:lang w:val="en-US" w:eastAsia="en-US" w:bidi="en-US"/>
          <w:w w:val="100"/>
          <w:spacing w:val="0"/>
          <w:color w:val="000000"/>
          <w:position w:val="0"/>
        </w:rPr>
        <w:t>e-mail :</w:t>
      </w:r>
      <w:r>
        <w:fldChar w:fldCharType="begin"/>
      </w:r>
      <w:r>
        <w:rPr>
          <w:color w:val="000000"/>
        </w:rPr>
        <w:instrText> HYPERLINK "mailto:_zakupki@admkonda.ru" </w:instrText>
      </w:r>
      <w:r>
        <w:fldChar w:fldCharType="separate"/>
      </w:r>
      <w:r>
        <w:rPr>
          <w:rStyle w:val="Hyperlink"/>
          <w:lang w:val="en-US" w:eastAsia="en-US" w:bidi="en-US"/>
          <w:w w:val="100"/>
          <w:spacing w:val="0"/>
          <w:position w:val="0"/>
        </w:rPr>
        <w:t>_zakupki@admkonda.ru</w:t>
      </w:r>
      <w:r>
        <w:fldChar w:fldCharType="end"/>
      </w:r>
    </w:p>
    <w:p>
      <w:pPr>
        <w:pStyle w:val="Style9"/>
        <w:widowControl w:val="0"/>
        <w:keepNext w:val="0"/>
        <w:keepLines w:val="0"/>
        <w:shd w:val="clear" w:color="auto" w:fill="auto"/>
        <w:bidi w:val="0"/>
        <w:jc w:val="center"/>
        <w:spacing w:before="0" w:after="240" w:line="278" w:lineRule="exact"/>
        <w:ind w:left="0" w:right="40" w:firstLine="0"/>
      </w:pPr>
      <w:r>
        <w:rPr>
          <w:lang w:val="ru-RU" w:eastAsia="ru-RU" w:bidi="ru-RU"/>
          <w:w w:val="100"/>
          <w:spacing w:val="0"/>
          <w:color w:val="000000"/>
          <w:position w:val="0"/>
        </w:rPr>
        <w:t>ПРЕДПИСАНИЕ об устранении нарушений законодательства</w:t>
      </w:r>
    </w:p>
    <w:p>
      <w:pPr>
        <w:pStyle w:val="Style9"/>
        <w:tabs>
          <w:tab w:leader="none" w:pos="7259" w:val="left"/>
        </w:tabs>
        <w:widowControl w:val="0"/>
        <w:keepNext w:val="0"/>
        <w:keepLines w:val="0"/>
        <w:shd w:val="clear" w:color="auto" w:fill="auto"/>
        <w:bidi w:val="0"/>
        <w:spacing w:before="0" w:after="0" w:line="278" w:lineRule="exact"/>
        <w:ind w:left="40" w:right="0" w:firstLine="0"/>
      </w:pPr>
      <w:r>
        <w:rPr>
          <w:lang w:val="ru-RU" w:eastAsia="ru-RU" w:bidi="ru-RU"/>
          <w:w w:val="100"/>
          <w:spacing w:val="0"/>
          <w:color w:val="000000"/>
          <w:position w:val="0"/>
        </w:rPr>
        <w:t>Резолютивная часть объявлена 19.06.2019</w:t>
        <w:tab/>
        <w:t>г.Ханты-Мансийск</w:t>
      </w:r>
    </w:p>
    <w:p>
      <w:pPr>
        <w:pStyle w:val="Style9"/>
        <w:widowControl w:val="0"/>
        <w:keepNext w:val="0"/>
        <w:keepLines w:val="0"/>
        <w:shd w:val="clear" w:color="auto" w:fill="auto"/>
        <w:bidi w:val="0"/>
        <w:spacing w:before="0" w:after="240" w:line="278" w:lineRule="exact"/>
        <w:ind w:left="40" w:right="0" w:firstLine="0"/>
      </w:pPr>
      <w:r>
        <w:rPr>
          <w:lang w:val="ru-RU" w:eastAsia="ru-RU" w:bidi="ru-RU"/>
          <w:w w:val="100"/>
          <w:spacing w:val="0"/>
          <w:color w:val="000000"/>
          <w:position w:val="0"/>
        </w:rPr>
        <w:t>Изготовлено в полном объеме 21.06.2019</w:t>
      </w:r>
    </w:p>
    <w:p>
      <w:pPr>
        <w:pStyle w:val="Style9"/>
        <w:widowControl w:val="0"/>
        <w:keepNext w:val="0"/>
        <w:keepLines w:val="0"/>
        <w:shd w:val="clear" w:color="auto" w:fill="auto"/>
        <w:bidi w:val="0"/>
        <w:spacing w:before="0" w:after="0" w:line="278" w:lineRule="exact"/>
        <w:ind w:left="40" w:right="0" w:firstLine="700"/>
      </w:pPr>
      <w:r>
        <w:rPr>
          <w:lang w:val="ru-RU" w:eastAsia="ru-RU" w:bidi="ru-RU"/>
          <w:w w:val="100"/>
          <w:spacing w:val="0"/>
          <w:color w:val="000000"/>
          <w:position w:val="0"/>
        </w:rPr>
        <w:t>Комиссия Управления Федеральной антимонопольной службы по Ханты- 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9"/>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Председателя комиссии:</w:t>
      </w:r>
    </w:p>
    <w:p>
      <w:pPr>
        <w:pStyle w:val="Style9"/>
        <w:numPr>
          <w:ilvl w:val="0"/>
          <w:numId w:val="1"/>
        </w:numPr>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 xml:space="preserve"> Иванов В.П. - Заместитель руководителя Управления;</w:t>
      </w:r>
    </w:p>
    <w:p>
      <w:pPr>
        <w:pStyle w:val="Style9"/>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Членов комиссии:</w:t>
      </w:r>
    </w:p>
    <w:p>
      <w:pPr>
        <w:pStyle w:val="Style9"/>
        <w:numPr>
          <w:ilvl w:val="0"/>
          <w:numId w:val="1"/>
        </w:numPr>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 xml:space="preserve"> Тохтахунов О.Х. - Старший государственный инспектор отдела Управления;</w:t>
      </w:r>
    </w:p>
    <w:p>
      <w:pPr>
        <w:pStyle w:val="Style9"/>
        <w:numPr>
          <w:ilvl w:val="0"/>
          <w:numId w:val="1"/>
        </w:numPr>
        <w:widowControl w:val="0"/>
        <w:keepNext w:val="0"/>
        <w:keepLines w:val="0"/>
        <w:shd w:val="clear" w:color="auto" w:fill="auto"/>
        <w:bidi w:val="0"/>
        <w:spacing w:before="0" w:after="240"/>
        <w:ind w:left="40" w:right="0" w:firstLine="700"/>
      </w:pPr>
      <w:r>
        <w:rPr>
          <w:lang w:val="ru-RU" w:eastAsia="ru-RU" w:bidi="ru-RU"/>
          <w:w w:val="100"/>
          <w:spacing w:val="0"/>
          <w:color w:val="000000"/>
          <w:position w:val="0"/>
        </w:rPr>
        <w:t xml:space="preserve"> Капаклы А.Д. - Старший государственный инспектор отдела Управления;</w:t>
      </w:r>
    </w:p>
    <w:p>
      <w:pPr>
        <w:pStyle w:val="Style9"/>
        <w:widowControl w:val="0"/>
        <w:keepNext w:val="0"/>
        <w:keepLines w:val="0"/>
        <w:shd w:val="clear" w:color="auto" w:fill="auto"/>
        <w:bidi w:val="0"/>
        <w:spacing w:before="0" w:after="215"/>
        <w:ind w:left="40" w:right="0" w:firstLine="700"/>
      </w:pPr>
      <w:r>
        <w:rPr>
          <w:lang w:val="ru-RU" w:eastAsia="ru-RU" w:bidi="ru-RU"/>
          <w:w w:val="100"/>
          <w:spacing w:val="0"/>
          <w:color w:val="000000"/>
          <w:position w:val="0"/>
        </w:rPr>
        <w:t>на основании своего решения от 19.06.2019 о рассмотрении жалобы ООО «МОНОЛИТСТРОЙМОНТАЖ» (ИНН 7811219396 , ОГРН 1157847254730) от 11.06.2019 №1038-ж на действия Заказчика - Муниципального учреждения управление капитального строительства Кондинского района , Уполномоченного органа - Администрации Кондинского района при проведении электронного аукциона, предметом которого является выполнение работ по строительству объекта: «ВОС на 200 мЗ/сут. в с. Леуши Кондинского района Ханты-Мансийского автономного округа -Югры» (извещение №0187300003519000205), руководствуясь положениями статьи 99, статьи 106 Федерального закона от 05.04.2013 г. №44-ФЗ «О контрактной системе в сфере закупок товаров, работ,</w:t>
        <w:br w:type="page"/>
      </w:r>
      <w:r>
        <w:rPr>
          <w:rStyle w:val="CharStyle27"/>
        </w:rPr>
        <w:t>услуг для обеспечения государственных и муниципальных нужд» (далее - Закон о контрактной системе), Комиссия Управления</w:t>
      </w:r>
    </w:p>
    <w:p>
      <w:pPr>
        <w:pStyle w:val="Style3"/>
        <w:widowControl w:val="0"/>
        <w:keepNext w:val="0"/>
        <w:keepLines w:val="0"/>
        <w:shd w:val="clear" w:color="auto" w:fill="auto"/>
        <w:bidi w:val="0"/>
        <w:jc w:val="center"/>
        <w:spacing w:before="0" w:after="213" w:line="230" w:lineRule="exact"/>
        <w:ind w:left="20" w:right="0" w:firstLine="0"/>
      </w:pPr>
      <w:r>
        <w:rPr>
          <w:lang w:val="ru-RU" w:eastAsia="ru-RU" w:bidi="ru-RU"/>
          <w:w w:val="100"/>
          <w:spacing w:val="0"/>
          <w:color w:val="000000"/>
          <w:position w:val="0"/>
        </w:rPr>
        <w:t>ПРЕДПИСЫВАЕТ:</w:t>
      </w:r>
    </w:p>
    <w:p>
      <w:pPr>
        <w:pStyle w:val="Style9"/>
        <w:widowControl w:val="0"/>
        <w:keepNext w:val="0"/>
        <w:keepLines w:val="0"/>
        <w:shd w:val="clear" w:color="auto" w:fill="auto"/>
        <w:bidi w:val="0"/>
        <w:spacing w:before="0" w:after="0"/>
        <w:ind w:left="20" w:right="40" w:firstLine="880"/>
      </w:pPr>
      <w:r>
        <w:rPr>
          <w:lang w:val="ru-RU" w:eastAsia="ru-RU" w:bidi="ru-RU"/>
          <w:w w:val="100"/>
          <w:spacing w:val="0"/>
          <w:color w:val="000000"/>
          <w:position w:val="0"/>
        </w:rPr>
        <w:t>В целях устранения нарушений законодательства о контрактной системе Заказчику - Муниципального учреждения управление капитального строительства Кондинского района , Уполномоченному органу - Администрации Кондинского района, аукционной комиссии совершить следующие действия:</w:t>
      </w:r>
    </w:p>
    <w:p>
      <w:pPr>
        <w:pStyle w:val="Style9"/>
        <w:numPr>
          <w:ilvl w:val="0"/>
          <w:numId w:val="21"/>
        </w:numPr>
        <w:widowControl w:val="0"/>
        <w:keepNext w:val="0"/>
        <w:keepLines w:val="0"/>
        <w:shd w:val="clear" w:color="auto" w:fill="auto"/>
        <w:bidi w:val="0"/>
        <w:spacing w:before="0" w:after="0"/>
        <w:ind w:left="20" w:right="40" w:firstLine="880"/>
      </w:pPr>
      <w:r>
        <w:rPr>
          <w:lang w:val="ru-RU" w:eastAsia="ru-RU" w:bidi="ru-RU"/>
          <w:w w:val="100"/>
          <w:spacing w:val="0"/>
          <w:color w:val="000000"/>
          <w:position w:val="0"/>
        </w:rPr>
        <w:t xml:space="preserve"> Отменить протоколы, составленные в ходе проведения электронного аукциона, предметом которого является выполнение работ по строительству объекта: «ВОС на 200 мЗ/сут. в с. Леуши Кондинского района Ханты-Мансийского автономного округа -Югры» (извещение №0187300003 519000205).</w:t>
      </w:r>
    </w:p>
    <w:p>
      <w:pPr>
        <w:pStyle w:val="Style9"/>
        <w:numPr>
          <w:ilvl w:val="0"/>
          <w:numId w:val="21"/>
        </w:numPr>
        <w:widowControl w:val="0"/>
        <w:keepNext w:val="0"/>
        <w:keepLines w:val="0"/>
        <w:shd w:val="clear" w:color="auto" w:fill="auto"/>
        <w:bidi w:val="0"/>
        <w:spacing w:before="0" w:after="0"/>
        <w:ind w:left="20" w:right="40" w:firstLine="880"/>
      </w:pPr>
      <w:r>
        <w:rPr>
          <w:lang w:val="ru-RU" w:eastAsia="ru-RU" w:bidi="ru-RU"/>
          <w:w w:val="100"/>
          <w:spacing w:val="0"/>
          <w:color w:val="000000"/>
          <w:position w:val="0"/>
        </w:rPr>
        <w:t xml:space="preserve"> С учетом принятого решения от 19.06.2019 по рассмотрению жалобы ООО «МОНОЛИТСТРОЙМОНТАЖ» от 11.06.2019 №1038-ж:</w:t>
      </w:r>
    </w:p>
    <w:p>
      <w:pPr>
        <w:pStyle w:val="Style9"/>
        <w:numPr>
          <w:ilvl w:val="0"/>
          <w:numId w:val="1"/>
        </w:numPr>
        <w:widowControl w:val="0"/>
        <w:keepNext w:val="0"/>
        <w:keepLines w:val="0"/>
        <w:shd w:val="clear" w:color="auto" w:fill="auto"/>
        <w:bidi w:val="0"/>
        <w:spacing w:before="0" w:after="0"/>
        <w:ind w:left="20" w:right="40" w:firstLine="880"/>
      </w:pPr>
      <w:r>
        <w:rPr>
          <w:lang w:val="ru-RU" w:eastAsia="ru-RU" w:bidi="ru-RU"/>
          <w:w w:val="100"/>
          <w:spacing w:val="0"/>
          <w:color w:val="000000"/>
          <w:position w:val="0"/>
        </w:rPr>
        <w:t xml:space="preserve"> внести изменения в извещение и документацию электронного аукциона, предметом которого является выполнение работ по строительству объекта: «ВОС на 200 мЗ/сут. в с. Леуши Кондинского района Ханты-Мансийского автономного округа -Югры» (извещение №0187300003519000205) и привести извещение и документацию электронного аукциона в соответствие с требованиями Закона о контрактной системе;</w:t>
      </w:r>
    </w:p>
    <w:p>
      <w:pPr>
        <w:pStyle w:val="Style9"/>
        <w:numPr>
          <w:ilvl w:val="0"/>
          <w:numId w:val="1"/>
        </w:numPr>
        <w:widowControl w:val="0"/>
        <w:keepNext w:val="0"/>
        <w:keepLines w:val="0"/>
        <w:shd w:val="clear" w:color="auto" w:fill="auto"/>
        <w:bidi w:val="0"/>
        <w:spacing w:before="0" w:after="0"/>
        <w:ind w:left="20" w:right="40" w:firstLine="880"/>
      </w:pPr>
      <w:r>
        <w:rPr>
          <w:lang w:val="ru-RU" w:eastAsia="ru-RU" w:bidi="ru-RU"/>
          <w:w w:val="100"/>
          <w:spacing w:val="0"/>
          <w:color w:val="000000"/>
          <w:position w:val="0"/>
        </w:rPr>
        <w:t xml:space="preserve"> продлить срок подачи заявок на участие в закупке таким образом, чтобы со дня размещения изменений в документацию электронного аукциона до даты окончания срока подачи заявок этот срок составлял не менее чем пятнадцать дней;</w:t>
      </w:r>
    </w:p>
    <w:p>
      <w:pPr>
        <w:pStyle w:val="Style9"/>
        <w:numPr>
          <w:ilvl w:val="0"/>
          <w:numId w:val="1"/>
        </w:numPr>
        <w:widowControl w:val="0"/>
        <w:keepNext w:val="0"/>
        <w:keepLines w:val="0"/>
        <w:shd w:val="clear" w:color="auto" w:fill="auto"/>
        <w:bidi w:val="0"/>
        <w:spacing w:before="0" w:after="0"/>
        <w:ind w:left="20" w:right="40" w:firstLine="880"/>
      </w:pPr>
      <w:r>
        <w:rPr>
          <w:lang w:val="ru-RU" w:eastAsia="ru-RU" w:bidi="ru-RU"/>
          <w:w w:val="100"/>
          <w:spacing w:val="0"/>
          <w:color w:val="000000"/>
          <w:position w:val="0"/>
        </w:rPr>
        <w:t xml:space="preserve"> разместить информацию об отмене протоколов и внесении изменений в документацию электронного аукциона в сети «Интернет»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 сайте оператора электронной площадки.</w:t>
      </w:r>
    </w:p>
    <w:p>
      <w:pPr>
        <w:pStyle w:val="Style9"/>
        <w:numPr>
          <w:ilvl w:val="0"/>
          <w:numId w:val="21"/>
        </w:numPr>
        <w:widowControl w:val="0"/>
        <w:keepNext w:val="0"/>
        <w:keepLines w:val="0"/>
        <w:shd w:val="clear" w:color="auto" w:fill="auto"/>
        <w:bidi w:val="0"/>
        <w:spacing w:before="0" w:after="0"/>
        <w:ind w:left="20" w:right="0" w:firstLine="880"/>
      </w:pPr>
      <w:r>
        <w:rPr>
          <w:lang w:val="ru-RU" w:eastAsia="ru-RU" w:bidi="ru-RU"/>
          <w:w w:val="100"/>
          <w:spacing w:val="0"/>
          <w:color w:val="000000"/>
          <w:position w:val="0"/>
        </w:rPr>
        <w:t xml:space="preserve"> В срок до 08.07.2019 исполнить п.1, п.2 данного предписания.</w:t>
      </w:r>
    </w:p>
    <w:p>
      <w:pPr>
        <w:pStyle w:val="Style9"/>
        <w:numPr>
          <w:ilvl w:val="0"/>
          <w:numId w:val="21"/>
        </w:numPr>
        <w:widowControl w:val="0"/>
        <w:keepNext w:val="0"/>
        <w:keepLines w:val="0"/>
        <w:shd w:val="clear" w:color="auto" w:fill="auto"/>
        <w:bidi w:val="0"/>
        <w:spacing w:before="0" w:after="0"/>
        <w:ind w:left="20" w:right="40" w:firstLine="880"/>
      </w:pPr>
      <w:r>
        <w:rPr>
          <w:lang w:val="ru-RU" w:eastAsia="ru-RU" w:bidi="ru-RU"/>
          <w:w w:val="100"/>
          <w:spacing w:val="0"/>
          <w:color w:val="000000"/>
          <w:position w:val="0"/>
        </w:rPr>
        <w:t xml:space="preserve"> В срок до 10.07.2019 представить в Управление Федеральной антимонопольной службы по Ханты-Мансийскому автономному округу - Югре информацию об исполнении предписания с приложением подтверждающих документов.</w:t>
      </w:r>
    </w:p>
    <w:p>
      <w:pPr>
        <w:pStyle w:val="Style9"/>
        <w:numPr>
          <w:ilvl w:val="0"/>
          <w:numId w:val="21"/>
        </w:numPr>
        <w:widowControl w:val="0"/>
        <w:keepNext w:val="0"/>
        <w:keepLines w:val="0"/>
        <w:shd w:val="clear" w:color="auto" w:fill="auto"/>
        <w:bidi w:val="0"/>
        <w:spacing w:before="0" w:after="0"/>
        <w:ind w:left="20" w:right="0" w:firstLine="880"/>
      </w:pPr>
      <w:r>
        <w:rPr>
          <w:lang w:val="ru-RU" w:eastAsia="ru-RU" w:bidi="ru-RU"/>
          <w:w w:val="100"/>
          <w:spacing w:val="0"/>
          <w:color w:val="000000"/>
          <w:position w:val="0"/>
        </w:rPr>
        <w:t xml:space="preserve"> Оператору электронной площадки совершить следующие действия:</w:t>
      </w:r>
    </w:p>
    <w:p>
      <w:pPr>
        <w:pStyle w:val="Style9"/>
        <w:numPr>
          <w:ilvl w:val="0"/>
          <w:numId w:val="1"/>
        </w:numPr>
        <w:widowControl w:val="0"/>
        <w:keepNext w:val="0"/>
        <w:keepLines w:val="0"/>
        <w:shd w:val="clear" w:color="auto" w:fill="auto"/>
        <w:bidi w:val="0"/>
        <w:spacing w:before="0" w:after="0"/>
        <w:ind w:left="20" w:right="0" w:firstLine="8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9"/>
        <w:numPr>
          <w:ilvl w:val="0"/>
          <w:numId w:val="1"/>
        </w:numPr>
        <w:widowControl w:val="0"/>
        <w:keepNext w:val="0"/>
        <w:keepLines w:val="0"/>
        <w:shd w:val="clear" w:color="auto" w:fill="auto"/>
        <w:bidi w:val="0"/>
        <w:spacing w:before="0" w:after="0"/>
        <w:ind w:left="20" w:right="4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о прекращении действия заявок, поданных на участие в Аукционе;</w:t>
      </w:r>
    </w:p>
    <w:p>
      <w:pPr>
        <w:pStyle w:val="Style9"/>
        <w:numPr>
          <w:ilvl w:val="0"/>
          <w:numId w:val="1"/>
        </w:numPr>
        <w:widowControl w:val="0"/>
        <w:keepNext w:val="0"/>
        <w:keepLines w:val="0"/>
        <w:shd w:val="clear" w:color="auto" w:fill="auto"/>
        <w:bidi w:val="0"/>
        <w:spacing w:before="0" w:after="0"/>
        <w:ind w:left="20" w:right="4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9"/>
        <w:numPr>
          <w:ilvl w:val="0"/>
          <w:numId w:val="21"/>
        </w:numPr>
        <w:widowControl w:val="0"/>
        <w:keepNext w:val="0"/>
        <w:keepLines w:val="0"/>
        <w:shd w:val="clear" w:color="auto" w:fill="auto"/>
        <w:bidi w:val="0"/>
        <w:spacing w:before="0" w:after="215"/>
        <w:ind w:left="20" w:right="40" w:firstLine="880"/>
      </w:pPr>
      <w:r>
        <w:rPr>
          <w:lang w:val="ru-RU" w:eastAsia="ru-RU" w:bidi="ru-RU"/>
          <w:w w:val="100"/>
          <w:spacing w:val="0"/>
          <w:color w:val="000000"/>
          <w:position w:val="0"/>
        </w:rPr>
        <w:t xml:space="preserve"> Официальному сайту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 оператору электронной площадки обеспечить исполнение Заказчиком, Уполномоченным органом, аукционной комиссией пунктов 1, 2, 3 настоящего предписания.</w:t>
      </w:r>
    </w:p>
    <w:p>
      <w:pPr>
        <w:pStyle w:val="Style28"/>
        <w:widowControl w:val="0"/>
        <w:keepNext w:val="0"/>
        <w:keepLines w:val="0"/>
        <w:shd w:val="clear" w:color="auto" w:fill="auto"/>
        <w:bidi w:val="0"/>
        <w:spacing w:before="0" w:after="238" w:line="230" w:lineRule="exact"/>
        <w:ind w:left="20" w:right="0" w:firstLine="0"/>
      </w:pPr>
      <w:r>
        <w:rPr>
          <w:lang w:val="ru-RU" w:eastAsia="ru-RU" w:bidi="ru-RU"/>
          <w:w w:val="100"/>
          <w:spacing w:val="0"/>
          <w:color w:val="000000"/>
          <w:position w:val="0"/>
        </w:rPr>
        <w:t>Председатель Комиссии</w:t>
      </w:r>
    </w:p>
    <w:p>
      <w:pPr>
        <w:pStyle w:val="Style28"/>
        <w:widowControl w:val="0"/>
        <w:keepNext w:val="0"/>
        <w:keepLines w:val="0"/>
        <w:shd w:val="clear" w:color="auto" w:fill="auto"/>
        <w:bidi w:val="0"/>
        <w:spacing w:before="0" w:after="768" w:line="230" w:lineRule="exact"/>
        <w:ind w:left="20" w:right="0" w:firstLine="0"/>
      </w:pPr>
      <w:r>
        <w:rPr>
          <w:lang w:val="ru-RU" w:eastAsia="ru-RU" w:bidi="ru-RU"/>
          <w:w w:val="100"/>
          <w:spacing w:val="0"/>
          <w:color w:val="000000"/>
          <w:position w:val="0"/>
        </w:rPr>
        <w:t>Члены Комиссии:</w:t>
      </w:r>
    </w:p>
    <w:p>
      <w:pPr>
        <w:pStyle w:val="Style29"/>
        <w:widowControl w:val="0"/>
        <w:keepNext w:val="0"/>
        <w:keepLines w:val="0"/>
        <w:shd w:val="clear" w:color="auto" w:fill="auto"/>
        <w:bidi w:val="0"/>
        <w:spacing w:before="0" w:after="188"/>
        <w:ind w:left="20" w:right="40" w:firstLine="0"/>
      </w:pPr>
      <w:r>
        <w:rPr>
          <w:lang w:val="ru-RU" w:eastAsia="ru-RU" w:bidi="ru-RU"/>
          <w:w w:val="100"/>
          <w:spacing w:val="0"/>
          <w:color w:val="000000"/>
          <w:position w:val="0"/>
        </w:rPr>
        <w:t>За невыполнение в установленный срок законного предписания антимонопольного органа статьей 19.5 Кодекса Российской Федерации об административных правонарушениях установлена административная ответственность.</w:t>
      </w:r>
    </w:p>
    <w:p>
      <w:pPr>
        <w:pStyle w:val="Style29"/>
        <w:widowControl w:val="0"/>
        <w:keepNext w:val="0"/>
        <w:keepLines w:val="0"/>
        <w:shd w:val="clear" w:color="auto" w:fill="auto"/>
        <w:bidi w:val="0"/>
        <w:jc w:val="left"/>
        <w:spacing w:before="0" w:after="0" w:line="197" w:lineRule="exact"/>
        <w:ind w:left="20" w:right="40" w:firstLine="600"/>
      </w:pPr>
      <w:r>
        <w:rPr>
          <w:lang w:val="ru-RU" w:eastAsia="ru-RU" w:bidi="ru-RU"/>
          <w:w w:val="100"/>
          <w:spacing w:val="0"/>
          <w:color w:val="000000"/>
          <w:position w:val="0"/>
        </w:rPr>
        <w:t>Примечание: настоящее предписание может быть обжаловано в судебном порядке в течение трех месяцев со дня его вынесения.</w:t>
      </w:r>
    </w:p>
    <w:sectPr>
      <w:footnotePr>
        <w:pos w:val="pageBottom"/>
        <w:numFmt w:val="decimal"/>
        <w:numRestart w:val="continuous"/>
      </w:footnotePr>
      <w:type w:val="continuous"/>
      <w:pgSz w:w="11906" w:h="16838"/>
      <w:pgMar w:top="1028" w:left="721" w:right="697" w:bottom="78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0"/>
      <w:numFmt w:val="decimal"/>
      <w:lvlText w:val="675,%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2.9.%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bCs/>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0"/>
      <w:numFmt w:val="decimal"/>
      <w:lvlText w:val="675,%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2"/>
      <w:numFmt w:val="decimal"/>
      <w:lvlText w:val="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5">
    <w:name w:val="Основной текст (2) + 12 pt Exact"/>
    <w:basedOn w:val="CharStyle14"/>
    <w:rPr>
      <w:sz w:val="24"/>
      <w:szCs w:val="24"/>
      <w:spacing w:val="1"/>
    </w:rPr>
  </w:style>
  <w:style w:type="character" w:customStyle="1" w:styleId="CharStyle7">
    <w:name w:val="Основной текст (3) Exact"/>
    <w:basedOn w:val="DefaultParagraphFont"/>
    <w:link w:val="Style6"/>
    <w:rPr>
      <w:b w:val="0"/>
      <w:bCs w:val="0"/>
      <w:i w:val="0"/>
      <w:iCs w:val="0"/>
      <w:u w:val="none"/>
      <w:strike w:val="0"/>
      <w:smallCaps w:val="0"/>
      <w:sz w:val="18"/>
      <w:szCs w:val="18"/>
      <w:rFonts w:ascii="Times New Roman" w:eastAsia="Times New Roman" w:hAnsi="Times New Roman" w:cs="Times New Roman"/>
      <w:spacing w:val="3"/>
    </w:rPr>
  </w:style>
  <w:style w:type="character" w:customStyle="1" w:styleId="CharStyle8">
    <w:name w:val="Основной текст (3) Exact"/>
    <w:basedOn w:val="CharStyle7"/>
    <w:rPr>
      <w:lang w:val="en-US" w:eastAsia="en-US" w:bidi="en-US"/>
      <w:u w:val="single"/>
      <w:w w:val="100"/>
      <w:color w:val="000000"/>
      <w:position w:val="0"/>
    </w:rPr>
  </w:style>
  <w:style w:type="character" w:customStyle="1" w:styleId="CharStyle10">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1"/>
    </w:rPr>
  </w:style>
  <w:style w:type="character" w:customStyle="1" w:styleId="CharStyle11">
    <w:name w:val="Основной текст + 16 pt,Курсив,Интервал -3 pt Exact"/>
    <w:basedOn w:val="CharStyle15"/>
    <w:rPr>
      <w:i/>
      <w:iCs/>
      <w:u w:val="single"/>
      <w:sz w:val="32"/>
      <w:szCs w:val="32"/>
      <w:spacing w:val="-64"/>
    </w:rPr>
  </w:style>
  <w:style w:type="character" w:customStyle="1" w:styleId="CharStyle12">
    <w:name w:val="Основной текст + 6,5 pt,Полужирный,Курсив,Интервал 0 pt Exact"/>
    <w:basedOn w:val="CharStyle15"/>
    <w:rPr>
      <w:b/>
      <w:bCs/>
      <w:i/>
      <w:iCs/>
      <w:u w:val="single"/>
      <w:sz w:val="13"/>
      <w:szCs w:val="13"/>
      <w:spacing w:val="-19"/>
    </w:rPr>
  </w:style>
  <w:style w:type="character" w:customStyle="1" w:styleId="CharStyle13">
    <w:name w:val="Основной текст Exact"/>
    <w:basedOn w:val="CharStyle15"/>
    <w:rPr>
      <w:u w:val="single"/>
      <w:sz w:val="20"/>
      <w:szCs w:val="20"/>
      <w:spacing w:val="1"/>
    </w:rPr>
  </w:style>
  <w:style w:type="character" w:customStyle="1" w:styleId="CharStyle1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 11,5 pt,Полужирный"/>
    <w:basedOn w:val="CharStyle15"/>
    <w:rPr>
      <w:lang w:val="ru-RU" w:eastAsia="ru-RU" w:bidi="ru-RU"/>
      <w:b/>
      <w:bCs/>
      <w:sz w:val="23"/>
      <w:szCs w:val="23"/>
      <w:w w:val="100"/>
      <w:spacing w:val="0"/>
      <w:color w:val="000000"/>
      <w:position w:val="0"/>
    </w:rPr>
  </w:style>
  <w:style w:type="character" w:customStyle="1" w:styleId="CharStyle17">
    <w:name w:val="Основной текст"/>
    <w:basedOn w:val="CharStyle15"/>
    <w:rPr>
      <w:lang w:val="ru-RU" w:eastAsia="ru-RU" w:bidi="ru-RU"/>
      <w:u w:val="single"/>
      <w:w w:val="100"/>
      <w:spacing w:val="0"/>
      <w:color w:val="000000"/>
      <w:position w:val="0"/>
    </w:rPr>
  </w:style>
  <w:style w:type="character" w:customStyle="1" w:styleId="CharStyle19">
    <w:name w:val="Заголовок №1_"/>
    <w:basedOn w:val="DefaultParagraphFont"/>
    <w:link w:val="Style18"/>
    <w:rPr>
      <w:b/>
      <w:bCs/>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 11,5 pt,Полужирный"/>
    <w:basedOn w:val="CharStyle15"/>
    <w:rPr>
      <w:lang w:val="ru-RU" w:eastAsia="ru-RU" w:bidi="ru-RU"/>
      <w:b/>
      <w:bCs/>
      <w:sz w:val="23"/>
      <w:szCs w:val="23"/>
      <w:w w:val="100"/>
      <w:spacing w:val="0"/>
      <w:color w:val="000000"/>
      <w:position w:val="0"/>
    </w:rPr>
  </w:style>
  <w:style w:type="character" w:customStyle="1" w:styleId="CharStyle21">
    <w:name w:val="Основной текст + 11,5 pt,Полужирный"/>
    <w:basedOn w:val="CharStyle15"/>
    <w:rPr>
      <w:lang w:val="ru-RU" w:eastAsia="ru-RU" w:bidi="ru-RU"/>
      <w:b/>
      <w:bCs/>
      <w:sz w:val="23"/>
      <w:szCs w:val="23"/>
      <w:w w:val="100"/>
      <w:spacing w:val="0"/>
      <w:color w:val="000000"/>
      <w:position w:val="0"/>
    </w:rPr>
  </w:style>
  <w:style w:type="character" w:customStyle="1" w:styleId="CharStyle22">
    <w:name w:val="Основной текст + 9,5 pt"/>
    <w:basedOn w:val="CharStyle15"/>
    <w:rPr>
      <w:lang w:val="ru-RU" w:eastAsia="ru-RU" w:bidi="ru-RU"/>
      <w:sz w:val="19"/>
      <w:szCs w:val="19"/>
      <w:w w:val="100"/>
      <w:spacing w:val="0"/>
      <w:color w:val="000000"/>
      <w:position w:val="0"/>
    </w:rPr>
  </w:style>
  <w:style w:type="character" w:customStyle="1" w:styleId="CharStyle23">
    <w:name w:val="Основной текст + 10 pt,Полужирный"/>
    <w:basedOn w:val="CharStyle15"/>
    <w:rPr>
      <w:lang w:val="ru-RU" w:eastAsia="ru-RU" w:bidi="ru-RU"/>
      <w:b/>
      <w:bCs/>
      <w:sz w:val="20"/>
      <w:szCs w:val="20"/>
      <w:w w:val="100"/>
      <w:spacing w:val="0"/>
      <w:color w:val="000000"/>
      <w:position w:val="0"/>
    </w:rPr>
  </w:style>
  <w:style w:type="character" w:customStyle="1" w:styleId="CharStyle25">
    <w:name w:val="Основной текст (4)_"/>
    <w:basedOn w:val="DefaultParagraphFont"/>
    <w:link w:val="Style24"/>
    <w:rPr>
      <w:b/>
      <w:bCs/>
      <w:i/>
      <w:iCs/>
      <w:u w:val="none"/>
      <w:strike w:val="0"/>
      <w:smallCaps w:val="0"/>
      <w:sz w:val="17"/>
      <w:szCs w:val="17"/>
      <w:rFonts w:ascii="Times New Roman" w:eastAsia="Times New Roman" w:hAnsi="Times New Roman" w:cs="Times New Roman"/>
    </w:rPr>
  </w:style>
  <w:style w:type="character" w:customStyle="1" w:styleId="CharStyle26">
    <w:name w:val="Основной текст (4) + Не курсив"/>
    <w:basedOn w:val="CharStyle25"/>
    <w:rPr>
      <w:lang w:val="ru-RU" w:eastAsia="ru-RU" w:bidi="ru-RU"/>
      <w:i/>
      <w:iCs/>
      <w:w w:val="100"/>
      <w:spacing w:val="0"/>
      <w:color w:val="000000"/>
      <w:position w:val="0"/>
    </w:rPr>
  </w:style>
  <w:style w:type="character" w:customStyle="1" w:styleId="CharStyle27">
    <w:name w:val="Основной текст (5)_"/>
    <w:basedOn w:val="DefaultParagraphFont"/>
    <w:link w:val="Style28"/>
    <w:rPr>
      <w:b w:val="0"/>
      <w:bCs w:val="0"/>
      <w:i w:val="0"/>
      <w:iCs w:val="0"/>
      <w:u w:val="none"/>
      <w:strike w:val="0"/>
      <w:smallCaps w:val="0"/>
      <w:sz w:val="23"/>
      <w:szCs w:val="23"/>
      <w:rFonts w:ascii="Times New Roman" w:eastAsia="Times New Roman" w:hAnsi="Times New Roman" w:cs="Times New Roman"/>
    </w:rPr>
  </w:style>
  <w:style w:type="character" w:customStyle="1" w:styleId="CharStyle30">
    <w:name w:val="Основной текст (6)_"/>
    <w:basedOn w:val="DefaultParagraphFont"/>
    <w:link w:val="Style29"/>
    <w:rPr>
      <w:b/>
      <w:bCs/>
      <w:i/>
      <w:iCs/>
      <w:u w:val="none"/>
      <w:strike w:val="0"/>
      <w:smallCaps w:val="0"/>
      <w:sz w:val="16"/>
      <w:szCs w:val="16"/>
      <w:rFonts w:ascii="Times New Roman" w:eastAsia="Times New Roman" w:hAnsi="Times New Roman" w:cs="Times New Roman"/>
    </w:rPr>
  </w:style>
  <w:style w:type="paragraph" w:customStyle="1" w:styleId="Style3">
    <w:name w:val="Основной текст (2)"/>
    <w:basedOn w:val="Normal"/>
    <w:link w:val="CharStyle14"/>
    <w:pPr>
      <w:widowControl w:val="0"/>
      <w:shd w:val="clear" w:color="auto" w:fill="FFFFFF"/>
      <w:jc w:val="both"/>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line="230" w:lineRule="exact"/>
    </w:pPr>
    <w:rPr>
      <w:b w:val="0"/>
      <w:bCs w:val="0"/>
      <w:i w:val="0"/>
      <w:iCs w:val="0"/>
      <w:u w:val="none"/>
      <w:strike w:val="0"/>
      <w:smallCaps w:val="0"/>
      <w:sz w:val="18"/>
      <w:szCs w:val="18"/>
      <w:rFonts w:ascii="Times New Roman" w:eastAsia="Times New Roman" w:hAnsi="Times New Roman" w:cs="Times New Roman"/>
      <w:spacing w:val="3"/>
    </w:rPr>
  </w:style>
  <w:style w:type="paragraph" w:customStyle="1" w:styleId="Style9">
    <w:name w:val="Основной текст"/>
    <w:basedOn w:val="Normal"/>
    <w:link w:val="CharStyle15"/>
    <w:pPr>
      <w:widowControl w:val="0"/>
      <w:shd w:val="clear" w:color="auto" w:fill="FFFFFF"/>
      <w:jc w:val="both"/>
      <w:spacing w:line="274" w:lineRule="exact"/>
      <w:ind w:hanging="4860"/>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center"/>
      <w:outlineLvl w:val="0"/>
      <w:spacing w:before="60" w:after="18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4">
    <w:name w:val="Основной текст (4)"/>
    <w:basedOn w:val="Normal"/>
    <w:link w:val="CharStyle25"/>
    <w:pPr>
      <w:widowControl w:val="0"/>
      <w:shd w:val="clear" w:color="auto" w:fill="FFFFFF"/>
      <w:jc w:val="both"/>
      <w:spacing w:before="300" w:line="230" w:lineRule="exact"/>
    </w:pPr>
    <w:rPr>
      <w:b/>
      <w:bCs/>
      <w:i/>
      <w:iCs/>
      <w:u w:val="none"/>
      <w:strike w:val="0"/>
      <w:smallCaps w:val="0"/>
      <w:sz w:val="17"/>
      <w:szCs w:val="17"/>
      <w:rFonts w:ascii="Times New Roman" w:eastAsia="Times New Roman" w:hAnsi="Times New Roman" w:cs="Times New Roman"/>
    </w:rPr>
  </w:style>
  <w:style w:type="paragraph" w:customStyle="1" w:styleId="Style28">
    <w:name w:val="Основной текст (5)"/>
    <w:basedOn w:val="Normal"/>
    <w:link w:val="CharStyle27"/>
    <w:pPr>
      <w:widowControl w:val="0"/>
      <w:shd w:val="clear" w:color="auto" w:fill="FFFFFF"/>
      <w:jc w:val="both"/>
      <w:spacing w:after="180"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before="840" w:after="180" w:line="206" w:lineRule="exact"/>
    </w:pPr>
    <w:rPr>
      <w:b/>
      <w:bCs/>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