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3555" w:left="5700" w:right="3832" w:bottom="4559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159" w:wrap="around" w:vAnchor="text" w:hAnchor="margin" w:x="2188" w:y="3257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4"/>
          <w:lang w:val="ru-RU" w:eastAsia="ru-RU" w:bidi="ru-RU"/>
          <w:spacing w:val="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8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55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Астраханской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791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Шаумяна, 47, г. Астрахань, 414000 тел./факс (8512) 39-05-80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9"/>
        </w:rPr>
        <w:instrText> HYPERLINK "mailto:to30@fas.gov.ru" </w:instrText>
      </w:r>
      <w:r>
        <w:fldChar w:fldCharType="separate"/>
      </w:r>
      <w:r>
        <w:rPr>
          <w:rStyle w:val="Hyperlink"/>
        </w:rPr>
        <w:t>to30@fas.gov.ru</w:t>
      </w:r>
      <w:r>
        <w:fldChar w:fldCharType="end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37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Государственное бюджетное учреждение здравоохранения Астраханской области «Областной кожно-венерологический диспансер»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60" w:line="27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414056, г. Астрахань, ул. Марии Максаковой, 6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58"/>
        <w:ind w:left="20" w:right="2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"mailto:guz_okvd_ao@mail.ru"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guz_okvd_ao@mail.ru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"mailto:okvdzapros@yandex.ru"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okvdzapros@yandex.ru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88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«Экология»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юридический адрес: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54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400094, г. Волгоград, ул. Танкистов, д. 5А, оф. 2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547" w:lineRule="exact"/>
        <w:ind w:left="20" w:right="0" w:firstLine="0"/>
      </w:pPr>
      <w:r>
        <w:fldChar w:fldCharType="begin"/>
      </w:r>
      <w:r>
        <w:rPr>
          <w:color w:val="000000"/>
        </w:rPr>
        <w:instrText> HYPERLINK "mailto:ekologvolg@gmail.com"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ekologvolg@gmail.com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54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ЗАО «Сбербанк-АСТ»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54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119180, г. Москва, ул.Большая Якиманка, д.</w:t>
      </w:r>
    </w:p>
    <w:p>
      <w:pPr>
        <w:pStyle w:val="Style12"/>
        <w:tabs>
          <w:tab w:leader="none" w:pos="1762" w:val="center"/>
          <w:tab w:leader="none" w:pos="2205" w:val="right"/>
          <w:tab w:leader="none" w:pos="2477" w:val="center"/>
          <w:tab w:leader="none" w:pos="2410" w:val="center"/>
          <w:tab w:leader="none" w:pos="2693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4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23</w:t>
        <w:tab/>
        <w:t>7</w:t>
        <w:tab/>
        <w:t>7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: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'</w:t>
        <w:tab/>
        <w:t>7</w:t>
        <w:tab/>
        <w:t>'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  <w:sectPr>
          <w:type w:val="continuous"/>
          <w:pgSz w:w="16838" w:h="23810"/>
          <w:pgMar w:top="3540" w:left="3904" w:right="3767" w:bottom="8965" w:header="0" w:footer="3" w:gutter="0"/>
          <w:rtlGutter w:val="0"/>
          <w:cols w:num="2" w:space="144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тел/факс: 8(495) 787-29-98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4" w:after="5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center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№030/06/64-589/2019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5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•о*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;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•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center"/>
        <w:spacing w:before="0" w:after="0" w:line="230" w:lineRule="exact"/>
        <w:ind w:left="0" w:right="0" w:firstLine="0"/>
        <w:sectPr>
          <w:type w:val="continuous"/>
          <w:pgSz w:w="16838" w:h="23810"/>
          <w:pgMar w:top="3555" w:left="5103" w:right="5085" w:bottom="898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делу о нарушении законодательства о контрактной системе</w:t>
      </w:r>
    </w:p>
    <w:p>
      <w:pPr>
        <w:widowControl w:val="0"/>
        <w:spacing w:before="44" w:after="4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framePr w:h="211" w:wrap="around" w:hAnchor="margin" w:x="-8383" w:y="1075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15"/>
          <w:spacing w:val="0"/>
        </w:rPr>
        <w:t>31</w:t>
      </w:r>
    </w:p>
    <w:p>
      <w:pPr>
        <w:pStyle w:val="Style12"/>
        <w:framePr w:h="211" w:wrap="around" w:hAnchor="margin" w:x="-8085" w:y="1075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16"/>
          <w:spacing w:val="0"/>
        </w:rPr>
        <w:t>ь</w:t>
      </w:r>
      <w:r>
        <w:rPr>
          <w:rStyle w:val="CharStyle15"/>
          <w:spacing w:val="0"/>
        </w:rPr>
        <w:t xml:space="preserve"> ая 2019 г.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type w:val="continuous"/>
          <w:pgSz w:w="16838" w:h="23810"/>
          <w:pgMar w:top="3555" w:left="11864" w:right="3400" w:bottom="898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Астрахань</w:t>
      </w:r>
    </w:p>
    <w:p>
      <w:pPr>
        <w:pStyle w:val="Style12"/>
        <w:framePr w:w="428" w:h="210" w:wrap="none" w:vAnchor="text" w:hAnchor="margin" w:x="-26" w:y="53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5"/>
          <w:spacing w:val="0"/>
        </w:rPr>
        <w:t>по</w:t>
      </w:r>
    </w:p>
    <w:p>
      <w:pPr>
        <w:pStyle w:val="Style12"/>
        <w:framePr w:w="630" w:h="222" w:wrap="none" w:vAnchor="text" w:hAnchor="margin" w:x="-37" w:y="136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5"/>
          <w:spacing w:val="0"/>
        </w:rPr>
        <w:t>рекл</w:t>
      </w:r>
    </w:p>
    <w:p>
      <w:pPr>
        <w:pStyle w:val="Style12"/>
        <w:framePr w:w="532" w:h="210" w:wrap="none" w:vAnchor="text" w:hAnchor="margin" w:x="-33" w:y="2752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5"/>
          <w:spacing w:val="0"/>
        </w:rPr>
        <w:t>ант</w:t>
      </w:r>
    </w:p>
    <w:p>
      <w:pPr>
        <w:pStyle w:val="Style12"/>
        <w:framePr w:w="640" w:h="551" w:wrap="none" w:vAnchor="text" w:hAnchor="margin" w:x="-47" w:y="3516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100" w:right="100" w:firstLine="0"/>
      </w:pPr>
      <w:r>
        <w:rPr>
          <w:rStyle w:val="CharStyle15"/>
          <w:spacing w:val="0"/>
        </w:rPr>
        <w:t>дисг (до в</w:t>
      </w:r>
    </w:p>
    <w:p>
      <w:pPr>
        <w:pStyle w:val="Style12"/>
        <w:framePr w:w="9867" w:h="4102" w:wrap="none" w:vAnchor="text" w:hAnchor="margin" w:x="-40" w:y="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100" w:firstLine="720"/>
      </w:pPr>
      <w:r>
        <w:rPr>
          <w:rStyle w:val="CharStyle15"/>
          <w:spacing w:val="0"/>
        </w:rPr>
        <w:t>Комиссия по контролю в сфере закупок на территории Астраханской области, утвержденная приказом руководителя Управления Федеральной, антимонопольной службы страханской области (далее - Комиссия), в составе:</w:t>
      </w:r>
    </w:p>
    <w:p>
      <w:pPr>
        <w:pStyle w:val="Style5"/>
        <w:framePr w:w="9867" w:h="4102" w:wrap="none" w:vAnchor="text" w:hAnchor="margin" w:x="-40" w:y="3"/>
        <w:tabs>
          <w:tab w:leader="none" w:pos="6684" w:val="right"/>
          <w:tab w:leader="none" w:pos="6983" w:val="right"/>
          <w:tab w:leader="none" w:pos="7160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600" w:right="0" w:firstLine="220"/>
      </w:pPr>
      <w:r>
        <w:rPr>
          <w:rStyle w:val="CharStyle17"/>
          <w:b/>
          <w:bCs/>
          <w:spacing w:val="0"/>
        </w:rPr>
        <w:t>председатель комиссии</w:t>
        <w:tab/>
        <w:t>«</w:t>
        <w:tab/>
        <w:t>:</w:t>
        <w:tab/>
        <w:t>.</w:t>
      </w:r>
    </w:p>
    <w:p>
      <w:pPr>
        <w:pStyle w:val="Style12"/>
        <w:framePr w:w="9867" w:h="4102" w:wrap="none" w:vAnchor="text" w:hAnchor="margin" w:x="-40" w:y="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600" w:right="100" w:firstLine="220"/>
      </w:pPr>
      <w:r>
        <w:rPr>
          <w:rStyle w:val="CharStyle15"/>
          <w:spacing w:val="0"/>
        </w:rPr>
        <w:t xml:space="preserve">Камакиной Т.Н. - заместителя руководителя-начальника отдела финансовых рынков и амы Астраханского УФАС России (далее - Управление); </w:t>
      </w:r>
      <w:r>
        <w:rPr>
          <w:rStyle w:val="CharStyle18"/>
          <w:spacing w:val="0"/>
        </w:rPr>
        <w:t>членов комиссии:</w:t>
      </w:r>
    </w:p>
    <w:p>
      <w:pPr>
        <w:pStyle w:val="Style12"/>
        <w:framePr w:w="9867" w:h="4102" w:wrap="none" w:vAnchor="text" w:hAnchor="margin" w:x="-40" w:y="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100" w:firstLine="720"/>
      </w:pPr>
      <w:r>
        <w:rPr>
          <w:rStyle w:val="CharStyle15"/>
          <w:spacing w:val="0"/>
        </w:rPr>
        <w:t>Литвинова М.В. - начальника отдела контроля в сфере закупок и антимонопольного контроля органов власти Управления,</w:t>
      </w:r>
    </w:p>
    <w:p>
      <w:pPr>
        <w:pStyle w:val="Style12"/>
        <w:framePr w:w="9867" w:h="4102" w:wrap="none" w:vAnchor="text" w:hAnchor="margin" w:x="-40" w:y="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60" w:right="100" w:firstLine="360"/>
      </w:pPr>
      <w:r>
        <w:rPr>
          <w:rStyle w:val="CharStyle15"/>
          <w:spacing w:val="0"/>
        </w:rPr>
        <w:t>Мухамбаевой А.С. - специалиста-эксперта отдела контроля в сфере закупок и ^монопольного контроля органов власти Управления,</w:t>
      </w:r>
    </w:p>
    <w:p>
      <w:pPr>
        <w:pStyle w:val="Style12"/>
        <w:framePr w:w="9867" w:h="4102" w:wrap="none" w:vAnchor="text" w:hAnchor="margin" w:x="-40" w:y="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0" w:right="0" w:firstLine="220"/>
      </w:pPr>
      <w:r>
        <w:rPr>
          <w:rStyle w:val="CharStyle15"/>
          <w:spacing w:val="0"/>
        </w:rPr>
        <w:t>в отсутствие представителя заявителя ООО «Экология»,</w:t>
      </w:r>
    </w:p>
    <w:p>
      <w:pPr>
        <w:pStyle w:val="Style12"/>
        <w:framePr w:w="9867" w:h="4102" w:wrap="none" w:vAnchor="text" w:hAnchor="margin" w:x="-40" w:y="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0" w:right="100" w:firstLine="220"/>
      </w:pPr>
      <w:r>
        <w:rPr>
          <w:rStyle w:val="CharStyle15"/>
          <w:spacing w:val="0"/>
        </w:rPr>
        <w:t>в присутствии представителя ГБУЗ АО «Областной кожно-венерологический ансер» (далее - Заказчик) Скитер Т.А. (доверенность от 09.01.2019) и Полякова О.В. ренность от 20.02.2019), рассмотрев жалобу ООО «Экология» на действия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89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3252" w:left="3400" w:right="3400" w:bottom="3252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tabs>
          <w:tab w:leader="none" w:pos="9164" w:val="right"/>
          <w:tab w:leader="none" w:pos="964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государственного заказчика ГБУЗ АО «Областной кожно-венерологический диспансер» при проведении электронного аукциона на право заключения государственного контракта на поставку дезинфицирующих средств (номер извещения:</w:t>
        <w:tab/>
        <w:t>0325200000319000081),</w:t>
        <w:tab/>
        <w:t>на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основании ст.99, 105,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19"/>
        <w:tabs>
          <w:tab w:leader="none" w:pos="2355" w:val="center"/>
          <w:tab w:leader="none" w:pos="2591" w:val="center"/>
          <w:tab w:leader="none" w:pos="2886" w:val="right"/>
          <w:tab w:leader="none" w:pos="3120" w:val="right"/>
        </w:tabs>
        <w:widowControl w:val="0"/>
        <w:keepNext w:val="0"/>
        <w:keepLines w:val="0"/>
        <w:shd w:val="clear" w:color="auto" w:fill="auto"/>
        <w:bidi w:val="0"/>
        <w:spacing w:before="0" w:after="87" w:line="90" w:lineRule="exact"/>
        <w:ind w:left="19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,</w:t>
        <w:tab/>
        <w:t>■</w:t>
        <w:tab/>
        <w:t>I</w:t>
        <w:tab/>
        <w:t>•</w:t>
        <w:tab/>
        <w:t>•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4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21"/>
        <w:tabs>
          <w:tab w:leader="none" w:pos="1748" w:val="left"/>
        </w:tabs>
        <w:widowControl w:val="0"/>
        <w:keepNext w:val="0"/>
        <w:keepLines w:val="0"/>
        <w:shd w:val="clear" w:color="auto" w:fill="auto"/>
        <w:bidi w:val="0"/>
        <w:spacing w:before="0" w:after="34" w:line="20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•' •</w:t>
        <w:tab/>
        <w:t>! * / V? ' *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%</w:t>
      </w:r>
      <w:r>
        <w:rPr>
          <w:lang w:val="ru-RU" w:eastAsia="ru-RU" w:bidi="ru-RU"/>
          <w:w w:val="100"/>
          <w:color w:val="000000"/>
          <w:position w:val="0"/>
        </w:rPr>
        <w:t xml:space="preserve"> • </w:t>
      </w:r>
      <w:r>
        <w:rPr>
          <w:lang w:val="en-US" w:eastAsia="en-US" w:bidi="en-US"/>
          <w:w w:val="100"/>
          <w:color w:val="000000"/>
          <w:position w:val="0"/>
        </w:rPr>
        <w:t>I</w:t>
      </w:r>
      <w:r>
        <w:rPr>
          <w:lang w:val="en-US" w:eastAsia="en-US" w:bidi="en-US"/>
          <w:vertAlign w:val="superscript"/>
          <w:w w:val="100"/>
          <w:color w:val="000000"/>
          <w:position w:val="0"/>
        </w:rPr>
        <w:t>f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;</w:t>
      </w:r>
      <w:r>
        <w:rPr>
          <w:lang w:val="ru-RU" w:eastAsia="ru-RU" w:bidi="ru-RU"/>
          <w:w w:val="100"/>
          <w:color w:val="000000"/>
          <w:position w:val="0"/>
        </w:rPr>
        <w:t xml:space="preserve"> '* '* </w:t>
      </w:r>
      <w:r>
        <w:rPr>
          <w:rStyle w:val="CharStyle23"/>
          <w:vertAlign w:val="superscript"/>
        </w:rPr>
        <w:t>1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Астраханское УФАС России 24.05.2019 поступила жалоба ООО «Экология» (д алее -— Заявитель; Общество) на действия государственного заказчика ГБУЗ АО «Областной кожно-венерологический диспансер» (далее — Заказчик) при проведении электрот ного аукциона на право заключения государственного контракта на поставку дезинфицирук щих средств (номер извещения: 0325200000319000081) (далее — электронный аукцион).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Заявителя, аукционная документация Заказчика составлена с наруше шем требований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а именно:</w:t>
      </w:r>
    </w:p>
    <w:p>
      <w:pPr>
        <w:pStyle w:val="Style12"/>
        <w:numPr>
          <w:ilvl w:val="0"/>
          <w:numId w:val="1"/>
        </w:numPr>
        <w:tabs>
          <w:tab w:leader="none" w:pos="992" w:val="right"/>
          <w:tab w:leader="none" w:pos="2355" w:val="center"/>
          <w:tab w:leader="none" w:pos="4070" w:val="center"/>
          <w:tab w:leader="none" w:pos="6183" w:val="right"/>
          <w:tab w:leader="none" w:pos="7857" w:val="right"/>
          <w:tab w:leader="none" w:pos="8203" w:val="center"/>
          <w:tab w:leader="none" w:pos="964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установленные Заказчиком в аукционной документации характеристики дезинфицирующих средств противоречат нормативному документу - Руководство Р 4.2.2643- 10</w:t>
        <w:tab/>
        <w:t>«3.5.</w:t>
        <w:tab/>
        <w:t>«Дезинфектология».</w:t>
        <w:tab/>
        <w:t>Методы</w:t>
        <w:tab/>
        <w:t>лабораторных</w:t>
        <w:tab/>
        <w:t>исследований</w:t>
        <w:tab/>
        <w:t>и</w:t>
        <w:tab/>
        <w:t>испытаний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дезинфицирующих средств для оценки их эффективность и безопасности»;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установленные в аукционной документации характеристики дезинфицирующих средств ограничивают количество участников закупки.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результатам рассмотрения жалобы и проведения внеплановой проверки Комиссией установлено следующее.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на официальном сайте единой информационной системы в с:])ере закупок 22.05.2019 размещены извещение о проведении электронного аукциона на граво заключения государственного контракта на поставку дезинфицирующих средств (нэмер извещения: 0325200000319000081) и аукционная документация (далее соответственно - Извещение. Документация).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считает, что довод Заявителя о том, что установленные в аукцио той документации характеристики дезинфицирующих средств противоречат норматив юму документу - Руководство Р 4.2.2643-10 «3.5. «Дезинфектология». Методы лабораторных исследований и испытаний дезинфицирующих средств для оценки их эффективнос ти и безопасности» (далее - Руководство), является несостоятельным по следующему основанию.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1.1. Руководства оно устанавливает единые методы лаборато шых исследований и испытаний дезинфекционных средств для оценки их антимикробной, инсектицидной, акарицидной, репеллентной и родентицидной активн юти, эффективности и безопасности при применении в быту, в лечебно-профилактических организациях и на других объектах для обеспечения безопасности жизни и здоровья людей, животных и неповреждения объектов внешней среды.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1.2 Руководства установлено, что это руководство предназначенс для организаций, учреждений, предприятий, аккредитованных испытательных центров лабораторий, органов по сертификации дезинфекционных средств, аккредитованных в системе аккредитации ГОСТ Р, специалистов, осуществляющих исследования дезинфицирующих, стерилизующих, дезинсекционных, дератизационных средств, а так: ке их субстанций (действующих веществ) в процессе их разработки, производства, применения, регистрационных и сертификационных испытаний, производственного контроля и надзора.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Поскольку Заказчик закупает готовую сертифицированную продукцию, то необходимость в применении Руководства Заказчиком при описании объекта закупки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отсутствует.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46" w:line="277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Подателем жалобы не принято во внимание, что документация об аукционе не устанавливает какие-либо требования к методам исследования закупаемых средств, и в этой связи сделан ошибочный вывод о наличии несоответствий между описанием объекта закупки и положениями Руководства.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как определено статьей 6 Закона о контрактной системе, контрактная система в сфере закупок основывается на таких принципах, как обеспечение конкуренции и эффективность осуществления закупок.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Раскрывая правовое содержание данных принципов, указанный закон устанавливает, что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 Запрещается совершение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 любых действий, которые противоречат требованиям Закона о контрактной системе, в том числе приводят к ограничению конкуренции, в частности к необоснованному ограничению числа участников закупок (статья 8). 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Законом о контрактной системе,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 (статья 12).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1 части 1 статьи 64 Закона о контрактной системе документация об электронном аукционе наряду с,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данного Федерального закона, в том числе обоснование начальной (максимальной) цены контракта.</w:t>
      </w:r>
    </w:p>
    <w:p>
      <w:pPr>
        <w:pStyle w:val="Style12"/>
        <w:tabs>
          <w:tab w:leader="none" w:pos="6732" w:val="center"/>
          <w:tab w:leader="none" w:pos="771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Частью 1 статьи 33 Закона о контрактной системе определено, что заказчик при описании в документации о закупке объекта закупки должен руководствоваться следующими правилами:</w:t>
        <w:tab/>
        <w:t>.</w:t>
        <w:tab/>
        <w:t>...</w:t>
      </w:r>
    </w:p>
    <w:p>
      <w:pPr>
        <w:pStyle w:val="Style1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.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."или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такрх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- применяемыми в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4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обозначении и терминологии.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4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4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Приведенные положения статьи 33 Закона о контрактной системе взаимосвязаны с положениями, закрепляющими принципы контрактной системы в сфере закупок, и не могут рассматриваться в отрыве друг от друга.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4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Системное толкование этих норм права позволяет сделать вывод о том, что заказчик вправе определять такие требования к качеству, техническим и функциональным характеристикам товара, которые соответствуют его потребностям с учетом специфики его деятельности и обеспечивают эффективное использование бюджетных средств, но не способствуют ограничению количества участников закупки. При этом заказчик вправе в необходимой степени детализировать объект закупки, уточнить его характеристики, поскольку потребности заказчика являются определяющим фактором при установлении соответствующих требований.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4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Законодательство в сфере осуществления закупок допускает самостоятельное формулирование заказчиком объекта закупки исходя из потребностей последнего. В частности, при описании товара заказчик вправе указывать качественные параметры объекта закупки, которые являются определяющими для него. Заказчик не лишен возможности более точно и четко указывать требования к закупаемому товару, в том числе в данной ситуации и к его составу.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4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Одновременно следует отметить, что действующее законодательство о контрактной системе Российской Федерации не ограничивает право заказчика приобретать товары, работы и услуги в соответствии со своими нуждами и спецификой деятельности. Заказчик не имеет возможность установить требования к техническим, качественным характеристикам товара, которые удовлетворяли бы всех возможных участников закупок для государственных и муниципальных нужд. При этом Закон о контрактной системе не обязывает Заказчика при определении характеристик поставляемого товара в аукционной документации устанавливать такие характеристики, которые соответствовали бы всем существующим типам, видам, маркам товара.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125" w:line="277" w:lineRule="exact"/>
        <w:ind w:left="20" w:right="4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в части V «ТЕХНИЧЕСКАЯ ЧАСТЬ» аукционной документации установил следующие требования к поставляемым дезинфицирующим средствам:</w:t>
      </w:r>
    </w:p>
    <w:tbl>
      <w:tblPr>
        <w:tblOverlap w:val="never"/>
        <w:tblLayout w:type="fixed"/>
        <w:jc w:val="center"/>
      </w:tblPr>
      <w:tblGrid>
        <w:gridCol w:w="576"/>
        <w:gridCol w:w="5674"/>
        <w:gridCol w:w="702"/>
        <w:gridCol w:w="1141"/>
        <w:gridCol w:w="1022"/>
        <w:gridCol w:w="968"/>
      </w:tblGrid>
      <w:tr>
        <w:trPr>
          <w:trHeight w:val="691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2"/>
              <w:framePr w:w="1008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0" w:line="180" w:lineRule="exact"/>
              <w:ind w:left="180" w:right="0" w:firstLine="0"/>
            </w:pPr>
            <w:r>
              <w:rPr>
                <w:rStyle w:val="CharStyle24"/>
              </w:rPr>
              <w:t>№</w:t>
            </w:r>
          </w:p>
          <w:p>
            <w:pPr>
              <w:pStyle w:val="Style12"/>
              <w:framePr w:w="1008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0" w:line="180" w:lineRule="exact"/>
              <w:ind w:left="180" w:right="0" w:firstLine="0"/>
            </w:pPr>
            <w:r>
              <w:rPr>
                <w:rStyle w:val="CharStyle24"/>
              </w:rPr>
              <w:t>п/п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2"/>
              <w:framePr w:w="1008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24"/>
              </w:rPr>
              <w:t>Наименование и характеристика товара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2"/>
              <w:framePr w:w="1008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0" w:line="180" w:lineRule="exact"/>
              <w:ind w:left="200" w:right="0" w:firstLine="0"/>
            </w:pPr>
            <w:r>
              <w:rPr>
                <w:rStyle w:val="CharStyle24"/>
              </w:rPr>
              <w:t>Ед.</w:t>
            </w:r>
          </w:p>
          <w:p>
            <w:pPr>
              <w:pStyle w:val="Style12"/>
              <w:framePr w:w="1008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0" w:line="180" w:lineRule="exact"/>
              <w:ind w:left="200" w:right="0" w:firstLine="0"/>
            </w:pPr>
            <w:r>
              <w:rPr>
                <w:rStyle w:val="CharStyle24"/>
              </w:rPr>
              <w:t>изм.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2"/>
              <w:framePr w:w="1008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180" w:lineRule="exact"/>
              <w:ind w:left="0" w:right="0" w:firstLine="0"/>
            </w:pPr>
            <w:r>
              <w:rPr>
                <w:rStyle w:val="CharStyle24"/>
              </w:rPr>
              <w:t>Кол-во</w:t>
            </w:r>
          </w:p>
          <w:p>
            <w:pPr>
              <w:pStyle w:val="Style12"/>
              <w:framePr w:w="1008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180" w:lineRule="exact"/>
              <w:ind w:left="0" w:right="0" w:firstLine="0"/>
            </w:pPr>
            <w:r>
              <w:rPr>
                <w:rStyle w:val="CharStyle24"/>
              </w:rPr>
              <w:t>всего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1008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24"/>
              </w:rPr>
              <w:t>ОМС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2"/>
              <w:framePr w:w="1008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24"/>
              </w:rPr>
              <w:t>БТ</w:t>
            </w:r>
          </w:p>
        </w:tc>
      </w:tr>
      <w:tr>
        <w:trPr>
          <w:trHeight w:val="1865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2"/>
              <w:framePr w:w="1008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80" w:right="0" w:firstLine="0"/>
            </w:pPr>
            <w:r>
              <w:rPr>
                <w:rStyle w:val="CharStyle24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2"/>
              <w:framePr w:w="1008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7" w:lineRule="exact"/>
              <w:ind w:left="120" w:right="0" w:firstLine="0"/>
            </w:pPr>
            <w:r>
              <w:rPr>
                <w:rStyle w:val="CharStyle25"/>
              </w:rPr>
              <w:t>Дезинфицирующее средство</w:t>
            </w:r>
          </w:p>
          <w:p>
            <w:pPr>
              <w:pStyle w:val="Style12"/>
              <w:framePr w:w="1008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7" w:lineRule="exact"/>
              <w:ind w:left="120" w:right="0" w:firstLine="0"/>
            </w:pPr>
            <w:r>
              <w:rPr>
                <w:rStyle w:val="CharStyle24"/>
              </w:rPr>
              <w:t>Жидкий концентрат для приготовления растворов для дезинфекции поверхностей, предстерилизационной очистки, в т.ч. совмещенной с дезинфекцией, изделий медицинского назначения и эндоскопов. .</w:t>
            </w:r>
          </w:p>
          <w:p>
            <w:pPr>
              <w:pStyle w:val="Style12"/>
              <w:framePr w:w="1008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7" w:lineRule="exact"/>
              <w:ind w:left="120" w:right="0" w:firstLine="0"/>
            </w:pPr>
            <w:r>
              <w:rPr>
                <w:rStyle w:val="CharStyle24"/>
              </w:rPr>
              <w:t>Содержит дидецилдиметиламмоний хлорид - не менее 9% и не более 10,5%, полигексаметиленгуанидин гидрохлорида - не менее 1% и не более 3%, функциональные компоненты (ПАВ,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2"/>
              <w:framePr w:w="1008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0" w:right="0" w:firstLine="0"/>
            </w:pPr>
            <w:r>
              <w:rPr>
                <w:rStyle w:val="CharStyle24"/>
              </w:rPr>
              <w:t>упак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2"/>
              <w:framePr w:w="1008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24"/>
              </w:rPr>
              <w:t>150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2"/>
              <w:framePr w:w="1008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24"/>
              </w:rPr>
              <w:t>75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2"/>
              <w:framePr w:w="1008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24"/>
              </w:rPr>
              <w:t>75</w:t>
            </w:r>
          </w:p>
        </w:tc>
      </w:tr>
    </w:tbl>
    <w:p>
      <w:pPr>
        <w:widowControl w:val="0"/>
        <w:rPr>
          <w:sz w:val="2"/>
          <w:szCs w:val="2"/>
        </w:rPr>
      </w:pPr>
    </w:p>
    <w:tbl>
      <w:tblPr>
        <w:tblOverlap w:val="never"/>
        <w:tblLayout w:type="fixed"/>
        <w:jc w:val="center"/>
      </w:tblPr>
      <w:tblGrid>
        <w:gridCol w:w="407"/>
        <w:gridCol w:w="180"/>
        <w:gridCol w:w="5688"/>
        <w:gridCol w:w="709"/>
        <w:gridCol w:w="1141"/>
        <w:gridCol w:w="997"/>
        <w:gridCol w:w="1012"/>
      </w:tblGrid>
      <w:tr>
        <w:trPr>
          <w:trHeight w:val="509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13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1013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2"/>
              <w:framePr w:w="101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7" w:lineRule="exact"/>
              <w:ind w:left="120" w:right="0" w:firstLine="0"/>
            </w:pPr>
            <w:r>
              <w:rPr>
                <w:rStyle w:val="CharStyle24"/>
              </w:rPr>
              <w:t>ингибитор коррозии).</w:t>
            </w:r>
          </w:p>
          <w:p>
            <w:pPr>
              <w:pStyle w:val="Style12"/>
              <w:framePr w:w="101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7" w:lineRule="exact"/>
              <w:ind w:left="120" w:right="0" w:firstLine="0"/>
            </w:pPr>
            <w:r>
              <w:rPr>
                <w:rStyle w:val="CharStyle25"/>
              </w:rPr>
              <w:t>Не содержащий хлор, альдегидов, перекисных соединений, аминов, кислот.</w:t>
            </w:r>
          </w:p>
          <w:p>
            <w:pPr>
              <w:pStyle w:val="Style12"/>
              <w:framePr w:w="101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7" w:lineRule="exact"/>
              <w:ind w:left="120" w:right="0" w:firstLine="0"/>
            </w:pPr>
            <w:r>
              <w:rPr>
                <w:rStyle w:val="CharStyle24"/>
              </w:rPr>
              <w:t>pH- не менее 5,0 и не более 8,0.</w:t>
            </w:r>
          </w:p>
          <w:p>
            <w:pPr>
              <w:pStyle w:val="Style12"/>
              <w:framePr w:w="101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7" w:lineRule="exact"/>
              <w:ind w:left="120" w:right="0" w:firstLine="0"/>
            </w:pPr>
            <w:r>
              <w:rPr>
                <w:rStyle w:val="CharStyle24"/>
              </w:rPr>
              <w:t>Антимикробная активность в отношении бактерий, микобактерий туберкулеза, вирусов (включая вирусы гепатитов, ВИЧ, полиомиелита), грибов.</w:t>
            </w:r>
          </w:p>
          <w:p>
            <w:pPr>
              <w:pStyle w:val="Style12"/>
              <w:framePr w:w="101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7" w:lineRule="exact"/>
              <w:ind w:left="120" w:right="0" w:firstLine="0"/>
            </w:pPr>
            <w:r>
              <w:rPr>
                <w:rStyle w:val="CharStyle24"/>
              </w:rPr>
              <w:t>Режимы применения и выход рабочего раствора:</w:t>
            </w:r>
          </w:p>
          <w:p>
            <w:pPr>
              <w:pStyle w:val="Style12"/>
              <w:numPr>
                <w:ilvl w:val="0"/>
                <w:numId w:val="5"/>
              </w:numPr>
              <w:framePr w:w="10134" w:wrap="notBeside" w:vAnchor="text" w:hAnchor="text" w:xAlign="center" w:y="1"/>
              <w:tabs>
                <w:tab w:leader="none" w:pos="235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7" w:lineRule="exact"/>
              <w:ind w:left="120" w:right="0" w:firstLine="0"/>
            </w:pPr>
            <w:r>
              <w:rPr>
                <w:rStyle w:val="CharStyle24"/>
              </w:rPr>
              <w:t>дезинфекция поверхностей по бактериальному режиму: выход рабочего раствора из 1 литра - не менее 300 л при времени экспозиции не более 30 мин;</w:t>
            </w:r>
          </w:p>
          <w:p>
            <w:pPr>
              <w:pStyle w:val="Style12"/>
              <w:numPr>
                <w:ilvl w:val="0"/>
                <w:numId w:val="5"/>
              </w:numPr>
              <w:framePr w:w="10134" w:wrap="notBeside" w:vAnchor="text" w:hAnchor="text" w:xAlign="center" w:y="1"/>
              <w:tabs>
                <w:tab w:leader="none" w:pos="115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27" w:lineRule="exact"/>
              <w:ind w:left="0" w:right="0" w:firstLine="0"/>
            </w:pPr>
            <w:r>
              <w:rPr>
                <w:rStyle w:val="CharStyle24"/>
              </w:rPr>
              <w:t>дезинфекция поверхностей по туберкулезному и вирусному режиму: выход рабочего раствора из 1 литра - не менее 200 л при времени экспозиции не более 30 мин;</w:t>
            </w:r>
          </w:p>
          <w:p>
            <w:pPr>
              <w:pStyle w:val="Style12"/>
              <w:numPr>
                <w:ilvl w:val="0"/>
                <w:numId w:val="5"/>
              </w:numPr>
              <w:framePr w:w="10134" w:wrap="notBeside" w:vAnchor="text" w:hAnchor="text" w:xAlign="center" w:y="1"/>
              <w:tabs>
                <w:tab w:leader="none" w:pos="232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7" w:lineRule="exact"/>
              <w:ind w:left="120" w:right="0" w:firstLine="0"/>
            </w:pPr>
            <w:r>
              <w:rPr>
                <w:rStyle w:val="CharStyle24"/>
              </w:rPr>
              <w:t>дезинфекция, совмещенная с ПСО, ИМИ и эндоскопов ручным способом: выход рабочего раствора из 1 литра - не менее 200 литров при времени выдержки не более 30 мин;</w:t>
            </w:r>
          </w:p>
          <w:p>
            <w:pPr>
              <w:pStyle w:val="Style12"/>
              <w:numPr>
                <w:ilvl w:val="0"/>
                <w:numId w:val="5"/>
              </w:numPr>
              <w:framePr w:w="10134" w:wrap="notBeside" w:vAnchor="text" w:hAnchor="text" w:xAlign="center" w:y="1"/>
              <w:tabs>
                <w:tab w:leader="none" w:pos="246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7" w:lineRule="exact"/>
              <w:ind w:left="120" w:right="0" w:firstLine="0"/>
            </w:pPr>
            <w:r>
              <w:rPr>
                <w:rStyle w:val="CharStyle24"/>
              </w:rPr>
              <w:t>предстерилизационная очистка ИМН и эндоскопов ручным способом: выход рабочего раствора из 1 литра средства - не менее 200 литров при времени выдержки не более 15 мин. Срок годности рабочих растворов - не менее 14 суток.</w:t>
            </w:r>
          </w:p>
          <w:p>
            <w:pPr>
              <w:pStyle w:val="Style12"/>
              <w:framePr w:w="101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7" w:lineRule="exact"/>
              <w:ind w:left="120" w:right="0" w:firstLine="0"/>
            </w:pPr>
            <w:r>
              <w:rPr>
                <w:rStyle w:val="CharStyle24"/>
              </w:rPr>
              <w:t>Форма выпуска - емкость объемом не менее 1 литра.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13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13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13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1013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136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2"/>
              <w:framePr w:w="101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80" w:lineRule="exact"/>
              <w:ind w:left="0" w:right="80" w:firstLine="0"/>
            </w:pPr>
            <w:r>
              <w:rPr>
                <w:rStyle w:val="CharStyle24"/>
              </w:rPr>
              <w:t>2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1013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2"/>
              <w:framePr w:w="101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7" w:lineRule="exact"/>
              <w:ind w:left="120" w:right="0" w:firstLine="0"/>
            </w:pPr>
            <w:r>
              <w:rPr>
                <w:rStyle w:val="CharStyle25"/>
              </w:rPr>
              <w:t>Дезинфицирующее средство</w:t>
            </w:r>
          </w:p>
          <w:p>
            <w:pPr>
              <w:pStyle w:val="Style12"/>
              <w:framePr w:w="101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7" w:lineRule="exact"/>
              <w:ind w:left="120" w:right="0" w:firstLine="0"/>
            </w:pPr>
            <w:r>
              <w:rPr>
                <w:rStyle w:val="CharStyle24"/>
              </w:rPr>
              <w:t>Готовый к применению спиртовой раствор для гигиенической обработки рук медицинского персонала и обработки рук хирургов.</w:t>
            </w:r>
          </w:p>
          <w:p>
            <w:pPr>
              <w:pStyle w:val="Style12"/>
              <w:framePr w:w="101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7" w:lineRule="exact"/>
              <w:ind w:left="120" w:right="0" w:firstLine="0"/>
            </w:pPr>
            <w:r>
              <w:rPr>
                <w:rStyle w:val="CharStyle24"/>
              </w:rPr>
              <w:t>Содержит пропиловый спирт (н-пропанол) - не менее 60%, смягчающие кожу компоненты и функциональные добавки.</w:t>
            </w:r>
          </w:p>
          <w:p>
            <w:pPr>
              <w:pStyle w:val="Style12"/>
              <w:framePr w:w="101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7" w:lineRule="exact"/>
              <w:ind w:left="120" w:right="0" w:firstLine="0"/>
            </w:pPr>
            <w:r>
              <w:rPr>
                <w:rStyle w:val="CharStyle25"/>
              </w:rPr>
              <w:t>Не содержащий этиловый и изопропиловый спирт, хлоргексидин, четвертичных аммониевых соединений, гуанидин.</w:t>
            </w:r>
          </w:p>
          <w:p>
            <w:pPr>
              <w:pStyle w:val="Style12"/>
              <w:framePr w:w="101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7" w:lineRule="exact"/>
              <w:ind w:left="120" w:right="0" w:firstLine="0"/>
            </w:pPr>
            <w:r>
              <w:rPr>
                <w:rStyle w:val="CharStyle24"/>
              </w:rPr>
              <w:t>Антимикробная активность в отношении бактерий, микобактерий туберкулеза, вируров, грибов.</w:t>
            </w:r>
          </w:p>
          <w:p>
            <w:pPr>
              <w:pStyle w:val="Style12"/>
              <w:framePr w:w="101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7" w:lineRule="exact"/>
              <w:ind w:left="120" w:right="0" w:firstLine="0"/>
            </w:pPr>
            <w:r>
              <w:rPr>
                <w:rStyle w:val="CharStyle24"/>
              </w:rPr>
              <w:t>Режимы применения:</w:t>
            </w:r>
          </w:p>
          <w:p>
            <w:pPr>
              <w:pStyle w:val="Style12"/>
              <w:numPr>
                <w:ilvl w:val="0"/>
                <w:numId w:val="7"/>
              </w:numPr>
              <w:framePr w:w="10134" w:wrap="notBeside" w:vAnchor="text" w:hAnchor="text" w:xAlign="center" w:y="1"/>
              <w:tabs>
                <w:tab w:leader="none" w:pos="242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7" w:lineRule="exact"/>
              <w:ind w:left="120" w:right="0" w:firstLine="0"/>
            </w:pPr>
            <w:r>
              <w:rPr>
                <w:rStyle w:val="CharStyle24"/>
              </w:rPr>
              <w:t>гигиеническая обработка рук: не более 3 мл, время обработки не менее 30 сек; . .•</w:t>
            </w:r>
          </w:p>
          <w:p>
            <w:pPr>
              <w:pStyle w:val="Style12"/>
              <w:numPr>
                <w:ilvl w:val="0"/>
                <w:numId w:val="7"/>
              </w:numPr>
              <w:framePr w:w="10134" w:wrap="notBeside" w:vAnchor="text" w:hAnchor="text" w:xAlign="center" w:y="1"/>
              <w:tabs>
                <w:tab w:leader="none" w:pos="235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7" w:lineRule="exact"/>
              <w:ind w:left="120" w:right="0" w:firstLine="0"/>
            </w:pPr>
            <w:r>
              <w:rPr>
                <w:rStyle w:val="CharStyle24"/>
              </w:rPr>
              <w:t>обработка рук хирургов: не более 10 мл, общее время обработки не более 5 мин.</w:t>
            </w:r>
          </w:p>
          <w:p>
            <w:pPr>
              <w:pStyle w:val="Style12"/>
              <w:framePr w:w="101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7" w:lineRule="exact"/>
              <w:ind w:left="120" w:right="0" w:firstLine="0"/>
            </w:pPr>
            <w:r>
              <w:rPr>
                <w:rStyle w:val="CharStyle24"/>
              </w:rPr>
              <w:t>Форма выпуска - в полимерных ёмкостях объемом не менее 1 литра с дозатором.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101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60" w:right="0" w:firstLine="0"/>
            </w:pPr>
            <w:r>
              <w:rPr>
                <w:rStyle w:val="CharStyle24"/>
              </w:rPr>
              <w:t>упак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101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24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101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24"/>
              </w:rPr>
              <w:t>100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2"/>
              <w:framePr w:w="101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24"/>
              </w:rPr>
              <w:t>100</w:t>
            </w:r>
          </w:p>
        </w:tc>
      </w:tr>
      <w:tr>
        <w:trPr>
          <w:trHeight w:val="5101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2"/>
              <w:framePr w:w="101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60" w:right="0" w:firstLine="0"/>
            </w:pPr>
            <w:r>
              <w:rPr>
                <w:rStyle w:val="CharStyle24"/>
              </w:rPr>
              <w:t>3</w:t>
            </w:r>
          </w:p>
        </w:tc>
        <w:tc>
          <w:tcPr>
            <w:shd w:val="clear" w:color="auto" w:fill="FFFFFF"/>
            <w:tcBorders>
              <w:top w:val="single" w:sz="4"/>
              <w:bottom w:val="single" w:sz="4"/>
            </w:tcBorders>
            <w:vAlign w:val="top"/>
          </w:tcPr>
          <w:p>
            <w:pPr>
              <w:framePr w:w="1013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2"/>
              <w:framePr w:w="101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7" w:lineRule="exact"/>
              <w:ind w:left="120" w:right="0" w:firstLine="0"/>
            </w:pPr>
            <w:r>
              <w:rPr>
                <w:rStyle w:val="CharStyle25"/>
              </w:rPr>
              <w:t>Дезинфицирующее средство</w:t>
            </w:r>
          </w:p>
          <w:p>
            <w:pPr>
              <w:pStyle w:val="Style12"/>
              <w:framePr w:w="101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7" w:lineRule="exact"/>
              <w:ind w:left="120" w:right="0" w:firstLine="0"/>
            </w:pPr>
            <w:r>
              <w:rPr>
                <w:rStyle w:val="CharStyle24"/>
              </w:rPr>
              <w:t>Жидкий кислородсодержащий концентрат для приготовления растворов для дезинфекции поверхностей, предстерилизационной очистки, в т.ч. совмещенной с дезинфекцией, изделий медицинского назначения и эндоскопов, дезинфекции высокого уровня эндоскопов, стерилизации ИМН и эндоскопов.</w:t>
            </w:r>
          </w:p>
          <w:p>
            <w:pPr>
              <w:pStyle w:val="Style12"/>
              <w:framePr w:w="101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7" w:lineRule="exact"/>
              <w:ind w:left="120" w:right="0" w:firstLine="0"/>
            </w:pPr>
            <w:r>
              <w:rPr>
                <w:rStyle w:val="CharStyle24"/>
              </w:rPr>
              <w:t>Содержит пероксид водорода - не менее 10% и не более 12%, полигексаметиленгуанидин гидрохлорид - не менее 1,5% и не более 2,5%, алкилдиметилбензиллммоний хлорида - не более 3,5%.</w:t>
            </w:r>
          </w:p>
          <w:p>
            <w:pPr>
              <w:pStyle w:val="Style12"/>
              <w:framePr w:w="101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7" w:lineRule="exact"/>
              <w:ind w:left="120" w:right="0" w:firstLine="0"/>
            </w:pPr>
            <w:r>
              <w:rPr>
                <w:rStyle w:val="CharStyle24"/>
              </w:rPr>
              <w:t>pH- не менее 4,0 и не более 8,0.,</w:t>
            </w:r>
          </w:p>
          <w:p>
            <w:pPr>
              <w:pStyle w:val="Style12"/>
              <w:framePr w:w="101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7" w:lineRule="exact"/>
              <w:ind w:left="120" w:right="0" w:firstLine="0"/>
            </w:pPr>
            <w:r>
              <w:rPr>
                <w:rStyle w:val="CharStyle25"/>
              </w:rPr>
              <w:t>Не содержит спирты, хлор, альдегиды, триамин.</w:t>
            </w:r>
          </w:p>
          <w:p>
            <w:pPr>
              <w:pStyle w:val="Style12"/>
              <w:framePr w:w="101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7" w:lineRule="exact"/>
              <w:ind w:left="120" w:right="0" w:firstLine="0"/>
            </w:pPr>
            <w:r>
              <w:rPr>
                <w:rStyle w:val="CharStyle24"/>
              </w:rPr>
              <w:t>Антимикробная активность в отношении бактерий, микобактерий туберкулеза, вирусов, грибов, спор.</w:t>
            </w:r>
          </w:p>
          <w:p>
            <w:pPr>
              <w:pStyle w:val="Style12"/>
              <w:framePr w:w="101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7" w:lineRule="exact"/>
              <w:ind w:left="120" w:right="0" w:firstLine="0"/>
            </w:pPr>
            <w:r>
              <w:rPr>
                <w:rStyle w:val="CharStyle24"/>
              </w:rPr>
              <w:t>Режимы применения и выход рабочего раствора:</w:t>
            </w:r>
          </w:p>
          <w:p>
            <w:pPr>
              <w:pStyle w:val="Style12"/>
              <w:numPr>
                <w:ilvl w:val="0"/>
                <w:numId w:val="9"/>
              </w:numPr>
              <w:framePr w:w="10134" w:wrap="notBeside" w:vAnchor="text" w:hAnchor="text" w:xAlign="center" w:y="1"/>
              <w:tabs>
                <w:tab w:leader="none" w:pos="235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7" w:lineRule="exact"/>
              <w:ind w:left="120" w:right="0" w:firstLine="0"/>
            </w:pPr>
            <w:r>
              <w:rPr>
                <w:rStyle w:val="CharStyle24"/>
              </w:rPr>
              <w:t>дезинфекция поверхностей по бактериальному режиму - не менее 200 л при времени экспозиции не более 30 мин.</w:t>
            </w:r>
          </w:p>
          <w:p>
            <w:pPr>
              <w:pStyle w:val="Style12"/>
              <w:numPr>
                <w:ilvl w:val="0"/>
                <w:numId w:val="9"/>
              </w:numPr>
              <w:framePr w:w="10134" w:wrap="notBeside" w:vAnchor="text" w:hAnchor="text" w:xAlign="center" w:y="1"/>
              <w:tabs>
                <w:tab w:leader="none" w:pos="242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7" w:lineRule="exact"/>
              <w:ind w:left="120" w:right="0" w:firstLine="0"/>
            </w:pPr>
            <w:r>
              <w:rPr>
                <w:rStyle w:val="CharStyle24"/>
              </w:rPr>
              <w:t>проведение генеральных уборок - не менее 50 литров при времени обеззараживания не более 45 мин;</w:t>
            </w:r>
          </w:p>
          <w:p>
            <w:pPr>
              <w:pStyle w:val="Style12"/>
              <w:numPr>
                <w:ilvl w:val="0"/>
                <w:numId w:val="9"/>
              </w:numPr>
              <w:framePr w:w="10134" w:wrap="notBeside" w:vAnchor="text" w:hAnchor="text" w:xAlign="center" w:y="1"/>
              <w:tabs>
                <w:tab w:leader="none" w:pos="246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7" w:lineRule="exact"/>
              <w:ind w:left="120" w:right="0" w:firstLine="0"/>
            </w:pPr>
            <w:r>
              <w:rPr>
                <w:rStyle w:val="CharStyle24"/>
              </w:rPr>
              <w:t>предстерилизационная очистка ИМН и эндоскопов ручным способом - не менее 100 литров при времени выдержки не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2"/>
              <w:framePr w:w="101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60" w:right="0" w:firstLine="0"/>
            </w:pPr>
            <w:r>
              <w:rPr>
                <w:rStyle w:val="CharStyle24"/>
              </w:rPr>
              <w:t>упак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2"/>
              <w:framePr w:w="101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960" w:line="180" w:lineRule="exact"/>
              <w:ind w:left="0" w:right="0" w:firstLine="0"/>
            </w:pPr>
            <w:r>
              <w:rPr>
                <w:rStyle w:val="CharStyle24"/>
              </w:rPr>
              <w:t>30</w:t>
            </w:r>
          </w:p>
          <w:p>
            <w:pPr>
              <w:pStyle w:val="Style12"/>
              <w:framePr w:w="101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960" w:after="0" w:line="180" w:lineRule="exact"/>
              <w:ind w:left="0" w:right="0" w:firstLine="0"/>
            </w:pPr>
            <w:r>
              <w:rPr>
                <w:rStyle w:val="CharStyle24"/>
                <w:lang w:val="en-US" w:eastAsia="en-US" w:bidi="en-US"/>
              </w:rPr>
              <w:t>(‘it i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2"/>
              <w:framePr w:w="101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24"/>
              </w:rPr>
              <w:t>10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2"/>
              <w:framePr w:w="101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24"/>
              </w:rPr>
              <w:t>20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более 30 мин;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дезинфекция высокого уровня эндоскопов - не менее 12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литров при времени выдержки не более 10 минут.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стерилизация ИМН и эндоскопов - не менее 10 литров при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времени выдержки не более 5 минут.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Срок годности рабочих растворов - не менее 14 суток.</w:t>
      </w:r>
    </w:p>
    <w:p>
      <w:pPr>
        <w:pStyle w:val="Style3"/>
        <w:tabs>
          <w:tab w:leader="underscore" w:pos="682" w:val="left"/>
          <w:tab w:leader="underscore" w:pos="6252" w:val="right"/>
          <w:tab w:leader="underscore" w:pos="6943" w:val="left"/>
          <w:tab w:leader="underscore" w:pos="8080" w:val="left"/>
          <w:tab w:leader="underscore" w:pos="9679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266" w:line="230" w:lineRule="exact"/>
        <w:ind w:left="20" w:right="30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Форма выпуска - полимерная емкость объемом не менее 1 </w:t>
        <w:tab/>
      </w:r>
      <w:r>
        <w:rPr>
          <w:rStyle w:val="CharStyle27"/>
        </w:rPr>
        <w:t>литра.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J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ab/>
        <w:tab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30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Заявителя, установленные в аукционной документации характеристики дезинфицирующих средств ограничивают количество участников закупки.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30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Однако, Обществом не принято во внимание, что техническое задание сформулировано Заказчиком с применением диапазонных значений показателей характеристик, что позволяет потенциальным участникам самостоятельно определить товар, который будет предложен к поставке в заявке на участие в аукционе и конкретные показатели которого будут в пределах заданных Заказчиком диапазонных значений.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30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отмечает, что установленным Заказчиком к объекту закупки требованиям отвечает продукция не менее двух производителей дезинфицирующих средств: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30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позиция 1: «Алма-Экстра» (производитель ООО ТОО «Производственный комплекс «Аврора», Казахстан), «Гексаниос Г+Р» (производитель «Лаборатория АНИОС», Франция);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30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позиция 2: «Альфапирокс» (производитель ООО ТОО «Производственный комплекс «Аврора», Казахстан), «Скинман Сенситив» (производитель «Эколаб Дойчленд ГмбХ», Германия);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30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позиция 3: «Ал-Окси» (производитель ООО ТОО «Производственный комплекс «Аврора», Казахстан), «Пероксин плюс» (производитель ООО «Дельтасепт», Россия,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30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что свидетельствует об отсутствии в рассматриваемом случае предпосылок для ограничения количества участников закупки.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30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Представитель. Заявителя свою явку не обеспечил, на рассмотрение жалобы не представил какие-либо доказательства того, что установленные в Документации характеристики дезинфицирующих средств соответствуют дезинфицирующим средствам только одного производителя. Обществом не проводились исследования предложений на рынке розничной продажи дезинфицирующих средств, не осуществлялся сравнительный анализ характеристик данных средств.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30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Доказательств наличия объективных оснований, препятствующих поставщикам, участвующим в закупке, осуществить закупку товара с указанным в аукционной документации описанием объекта закупки Комиссии также не представлено. Любой участник закупки может, предложить к поставке товары собственного производства либо закупить такие товары у иных участников рынка. Выбор контрагентов, у которых участник закупки может приобретать товары, характеристики которых соответствуют требованиям Заказчика, документацией не ограничены. Отсутствие у потенциального участника закупки товара с требуемыми заказчику характеристиками не свидетельствует о том, что заказчик ограничил число участников закупки.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30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Указанные .' требования полностью соответствуют техническим регламентам, устанавливающим требования к закупаемой продукции, являются стандартными и не предполагают обоснование их заказчиком на основании пункта 2 части 1 статьи 33 Закона о контрактной системе.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30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таких обстоятельствах, учитывая, что объектом закупки является не производство товара, а его поставка (аукцион проводится не исключительно для производителей, а для неограниченного круга лиц), описание Заказчиком объекта закупки не содержим требований, влекущих ограничение количества участников закупки.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Также Комиссия Управления отклоняет довод жалобы о том, что Заказчиком установлены избыточные требования к закупаемым товарам,- ввиду чего участникам закупки для заполнения заявок необходимо иметь товар в наличии. Податалем жалобы не учтено следующее.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Все без исключения дезинфицирующие средства на территории Российской Федерации проходят исследования, предрегистрационные испытания, регистрируются, сертифицируются на основе требований Руководства 4.2.2643-10.3.5 «Дезинфектология».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этим на территории Российской Федерации действует единая установленная классификация дезинфицирующих средств, указанная в пунктах 4.1., 4.2. Руководства, в соответствии с которой и проводятся соответствующие исследования, испытания и регистрация.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регистрации дезинфицирующих средств в инструкциях по их применению прописывается индивидуальный рецептурный состав средства, на основе которого уже были произведены все необходимые исследования и испытания. В связи с этим в инструкциях прописываются и утверждаются конкретные режимы применения средств, эффективность рабочих растворов, функциональные и технические характеристики, такие как: назначение средства и основные режимы его применения; срок годности средства и рабочего раствора; активность средства в отношении различных инфекций и микроорганизмов; время обработки объектов обеззараживания; утвержденные концентрации применения рабочих растворов; упаковка, температура хранения, класс опасности и меры предосторожности.</w:t>
      </w:r>
    </w:p>
    <w:p>
      <w:pPr>
        <w:pStyle w:val="Style12"/>
        <w:tabs>
          <w:tab w:leader="none" w:pos="2450" w:val="center"/>
          <w:tab w:leader="none" w:pos="2936" w:val="center"/>
          <w:tab w:leader="none" w:pos="3404" w:val="left"/>
          <w:tab w:leader="none" w:pos="5316" w:val="center"/>
          <w:tab w:leader="none" w:pos="6432" w:val="center"/>
          <w:tab w:leader="none" w:pos="7508" w:val="left"/>
          <w:tab w:leader="none" w:pos="7745" w:val="center"/>
          <w:tab w:leader="none" w:pos="9297" w:val="right"/>
          <w:tab w:leader="none" w:pos="967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Инструкции по применению дезинфицирующих средств имеются в свободном доступе в информационно-телекоммуникационной сети «Интернет», в связи с чем участникам закупки для заполнения заявок не нужно приобретать товар, поскольку им достаточно выбрать дезинфицирующее средство, которое онд намерены предложить к поставке, и включить</w:t>
        <w:tab/>
        <w:t>в</w:t>
        <w:tab/>
        <w:t>заявку</w:t>
        <w:tab/>
        <w:t>сведения</w:t>
        <w:tab/>
        <w:t>об этом средстве,</w:t>
        <w:tab/>
        <w:t>указанные</w:t>
        <w:tab/>
        <w:t>в</w:t>
        <w:tab/>
        <w:t>инструкции</w:t>
        <w:tab/>
        <w:t>по</w:t>
        <w:tab/>
        <w:t>его</w:t>
      </w:r>
    </w:p>
    <w:p>
      <w:pPr>
        <w:pStyle w:val="Style12"/>
        <w:tabs>
          <w:tab w:leader="none" w:pos="3319" w:val="left"/>
          <w:tab w:leader="none" w:pos="742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применению.</w:t>
        <w:tab/>
        <w:t>.</w:t>
        <w:tab/>
        <w:t>..</w:t>
      </w:r>
    </w:p>
    <w:p>
      <w:pPr>
        <w:pStyle w:val="Style12"/>
        <w:tabs>
          <w:tab w:leader="none" w:pos="2302" w:val="center"/>
          <w:tab w:leader="none" w:pos="4142" w:val="center"/>
          <w:tab w:leader="none" w:pos="6984" w:val="center"/>
          <w:tab w:leader="none" w:pos="8422" w:val="center"/>
          <w:tab w:leader="none" w:pos="967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таких</w:t>
        <w:tab/>
        <w:t>обстоятельствах</w:t>
        <w:tab/>
        <w:t>оснований для выдачи</w:t>
        <w:tab/>
        <w:t>Заказчику</w:t>
        <w:tab/>
        <w:t>предписания</w:t>
        <w:tab/>
        <w:t>об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устранении нарушений Закона о контрактной системе не имеется.,.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335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Учитывая вышеизложенное, руководствуясь частью 8 . статьц 106 Закона о контрактной системе, Комиссия</w:t>
      </w:r>
    </w:p>
    <w:p>
      <w:pPr>
        <w:pStyle w:val="Style28"/>
        <w:tabs>
          <w:tab w:leader="none" w:pos="7425" w:val="left"/>
        </w:tabs>
        <w:widowControl w:val="0"/>
        <w:keepNext/>
        <w:keepLines/>
        <w:shd w:val="clear" w:color="auto" w:fill="auto"/>
        <w:bidi w:val="0"/>
        <w:spacing w:before="0" w:after="205" w:line="230" w:lineRule="exact"/>
        <w:ind w:left="46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  <w:tab/>
        <w:t>г</w:t>
      </w:r>
      <w:bookmarkEnd w:id="0"/>
    </w:p>
    <w:p>
      <w:pPr>
        <w:pStyle w:val="Style12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«Экология» на действия государственного ГБУЗ АО «Областной кожно-венерологический диспансер» при проведении электронного аукциона на право заключения государственного контракта на поставку дезинфицирующих средств (номер извещения: 0325200000319000081) необоснованной. ...</w:t>
      </w:r>
    </w:p>
    <w:p>
      <w:pPr>
        <w:pStyle w:val="Style12"/>
        <w:numPr>
          <w:ilvl w:val="0"/>
          <w:numId w:val="11"/>
        </w:numPr>
        <w:tabs>
          <w:tab w:leader="none" w:pos="7220" w:val="left"/>
          <w:tab w:leader="none" w:pos="722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06" w:line="277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Предписание не выдавать.</w:t>
        <w:tab/>
        <w:t>,</w:t>
        <w:tab/>
        <w:t>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332" w:line="270" w:lineRule="exact"/>
        <w:ind w:left="20" w:right="20" w:firstLine="720"/>
      </w:pPr>
      <w:r>
        <w:rPr>
          <w:rStyle w:val="CharStyle30"/>
        </w:rPr>
        <w:t xml:space="preserve">Примечание: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 даты его принятия.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723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0"/>
        <w:sectPr>
          <w:pgSz w:w="16838" w:h="23810"/>
          <w:pgMar w:top="4563" w:left="3373" w:right="3323" w:bottom="481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pgSz w:w="16838" w:h="23810"/>
          <w:pgMar w:top="10918" w:left="7292" w:right="8890" w:bottom="5403" w:header="0" w:footer="3" w:gutter="0"/>
          <w:rtlGutter w:val="0"/>
          <w:cols w:space="720"/>
          <w:noEndnote/>
          <w:docGrid w:linePitch="360"/>
        </w:sectPr>
      </w:pP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5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\ </w:t>
      </w:r>
      <w:r>
        <w:rPr>
          <w:rStyle w:val="CharStyle31"/>
        </w:rPr>
        <w:t>' '</w:t>
      </w:r>
    </w:p>
    <w:p>
      <w:pPr>
        <w:pStyle w:val="Style3"/>
        <w:framePr w:w="1551" w:h="2101" w:wrap="none" w:vAnchor="text" w:hAnchor="margin" w:x="1828" w:y="3"/>
        <w:widowControl w:val="0"/>
        <w:keepNext w:val="0"/>
        <w:keepLines w:val="0"/>
        <w:shd w:val="clear" w:color="auto" w:fill="auto"/>
        <w:bidi w:val="0"/>
        <w:jc w:val="right"/>
        <w:spacing w:before="0" w:after="332" w:line="160" w:lineRule="exact"/>
        <w:ind w:left="0" w:right="120" w:firstLine="0"/>
      </w:pPr>
      <w:r>
        <w:rPr>
          <w:rStyle w:val="CharStyle4"/>
          <w:spacing w:val="0"/>
        </w:rPr>
        <w:t>• :</w:t>
      </w:r>
    </w:p>
    <w:p>
      <w:pPr>
        <w:pStyle w:val="Style12"/>
        <w:framePr w:w="1551" w:h="2101" w:wrap="none" w:vAnchor="text" w:hAnchor="margin" w:x="1828" w:y="3"/>
        <w:widowControl w:val="0"/>
        <w:keepNext w:val="0"/>
        <w:keepLines w:val="0"/>
        <w:shd w:val="clear" w:color="auto" w:fill="auto"/>
        <w:bidi w:val="0"/>
        <w:jc w:val="both"/>
        <w:spacing w:before="0" w:after="190" w:line="210" w:lineRule="exact"/>
        <w:ind w:left="200" w:right="0" w:firstLine="0"/>
      </w:pPr>
      <w:r>
        <w:rPr>
          <w:rStyle w:val="CharStyle15"/>
          <w:lang w:val="en-US" w:eastAsia="en-US" w:bidi="en-US"/>
          <w:spacing w:val="0"/>
        </w:rPr>
        <w:t>■ -••• .</w:t>
      </w:r>
    </w:p>
    <w:p>
      <w:pPr>
        <w:pStyle w:val="Style32"/>
        <w:framePr w:w="1551" w:h="2101" w:wrap="none" w:vAnchor="text" w:hAnchor="margin" w:x="1828" w:y="3"/>
        <w:widowControl w:val="0"/>
        <w:keepNext w:val="0"/>
        <w:keepLines w:val="0"/>
        <w:shd w:val="clear" w:color="auto" w:fill="auto"/>
        <w:bidi w:val="0"/>
        <w:jc w:val="left"/>
        <w:spacing w:before="0" w:after="84" w:line="80" w:lineRule="exact"/>
        <w:ind w:left="100" w:right="0" w:firstLine="0"/>
      </w:pPr>
      <w:r>
        <w:rPr>
          <w:w w:val="100"/>
          <w:spacing w:val="0"/>
          <w:color w:val="000000"/>
          <w:position w:val="0"/>
        </w:rPr>
        <w:t>.'■•I i '' ”n •</w:t>
      </w:r>
    </w:p>
    <w:p>
      <w:pPr>
        <w:pStyle w:val="Style3"/>
        <w:framePr w:w="1551" w:h="2101" w:wrap="none" w:vAnchor="text" w:hAnchor="margin" w:x="1828" w:y="3"/>
        <w:tabs>
          <w:tab w:leader="none" w:pos="574" w:val="center"/>
          <w:tab w:leader="none" w:pos="794" w:val="left"/>
          <w:tab w:leader="none" w:pos="140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67" w:line="160" w:lineRule="exact"/>
        <w:ind w:left="200" w:right="0" w:firstLine="0"/>
      </w:pPr>
      <w:r>
        <w:rPr>
          <w:rStyle w:val="CharStyle4"/>
          <w:spacing w:val="0"/>
        </w:rPr>
        <w:t>'</w:t>
        <w:tab/>
        <w:t>.-H.</w:t>
        <w:tab/>
        <w:t>- *;</w:t>
        <w:tab/>
        <w:t>'</w:t>
      </w:r>
    </w:p>
    <w:p>
      <w:pPr>
        <w:pStyle w:val="Style34"/>
        <w:framePr w:w="1551" w:h="2101" w:wrap="none" w:vAnchor="text" w:hAnchor="margin" w:x="1828" w:y="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60" w:right="0" w:firstLine="0"/>
      </w:pPr>
      <w:r>
        <w:rPr>
          <w:lang w:val="ru-RU" w:eastAsia="ru-RU" w:bidi="ru-RU"/>
          <w:spacing w:val="0"/>
          <w:color w:val="000000"/>
          <w:position w:val="0"/>
        </w:rPr>
        <w:t xml:space="preserve">•г </w:t>
      </w:r>
      <w:r>
        <w:rPr>
          <w:lang w:val="en-US" w:eastAsia="en-US" w:bidi="en-US"/>
          <w:spacing w:val="0"/>
          <w:color w:val="000000"/>
          <w:position w:val="0"/>
        </w:rPr>
        <w:t>,</w:t>
      </w:r>
    </w:p>
    <w:p>
      <w:pPr>
        <w:pStyle w:val="Style21"/>
        <w:framePr w:w="1551" w:h="2101" w:wrap="none" w:vAnchor="text" w:hAnchor="margin" w:x="1828" w:y="3"/>
        <w:tabs>
          <w:tab w:leader="none" w:pos="1058" w:val="right"/>
          <w:tab w:leader="none" w:pos="1098" w:val="left"/>
          <w:tab w:leader="none" w:pos="1270" w:val="right"/>
          <w:tab w:leader="none" w:pos="1375" w:val="right"/>
          <w:tab w:leader="none" w:pos="1429" w:val="right"/>
        </w:tabs>
        <w:widowControl w:val="0"/>
        <w:keepNext w:val="0"/>
        <w:keepLines w:val="0"/>
        <w:shd w:val="clear" w:color="auto" w:fill="auto"/>
        <w:bidi w:val="0"/>
        <w:spacing w:before="0" w:after="0" w:line="148" w:lineRule="exact"/>
        <w:ind w:left="680" w:right="0" w:firstLine="0"/>
      </w:pPr>
      <w:r>
        <w:rPr>
          <w:rStyle w:val="CharStyle37"/>
          <w:spacing w:val="0"/>
        </w:rPr>
        <w:t>.4</w:t>
      </w:r>
      <w:r>
        <w:rPr>
          <w:rStyle w:val="CharStyle36"/>
          <w:spacing w:val="-30"/>
        </w:rPr>
        <w:tab/>
      </w:r>
      <w:r>
        <w:rPr>
          <w:rStyle w:val="CharStyle38"/>
        </w:rPr>
        <w:t>■</w:t>
        <w:tab/>
        <w:t>:</w:t>
      </w:r>
      <w:r>
        <w:rPr>
          <w:rStyle w:val="CharStyle36"/>
          <w:spacing w:val="-30"/>
        </w:rPr>
        <w:tab/>
        <w:t>.</w:t>
        <w:tab/>
        <w:t>:</w:t>
        <w:tab/>
      </w:r>
      <w:r>
        <w:rPr>
          <w:rStyle w:val="CharStyle37"/>
          <w:vertAlign w:val="superscript"/>
          <w:spacing w:val="0"/>
        </w:rPr>
        <w:t>1</w:t>
      </w:r>
    </w:p>
    <w:p>
      <w:pPr>
        <w:pStyle w:val="Style21"/>
        <w:framePr w:w="1551" w:h="2101" w:wrap="none" w:vAnchor="text" w:hAnchor="margin" w:x="1828" w:y="3"/>
        <w:widowControl w:val="0"/>
        <w:keepNext w:val="0"/>
        <w:keepLines w:val="0"/>
        <w:shd w:val="clear" w:color="auto" w:fill="auto"/>
        <w:bidi w:val="0"/>
        <w:spacing w:before="0" w:after="70" w:line="148" w:lineRule="exact"/>
        <w:ind w:left="680" w:right="0" w:firstLine="0"/>
      </w:pPr>
      <w:r>
        <w:rPr>
          <w:rStyle w:val="CharStyle36"/>
          <w:spacing w:val="-30"/>
        </w:rPr>
        <w:t>.• '. ' !</w:t>
      </w:r>
    </w:p>
    <w:p>
      <w:pPr>
        <w:pStyle w:val="Style12"/>
        <w:framePr w:w="1551" w:h="2101" w:wrap="none" w:vAnchor="text" w:hAnchor="margin" w:x="1828" w:y="3"/>
        <w:widowControl w:val="0"/>
        <w:keepNext w:val="0"/>
        <w:keepLines w:val="0"/>
        <w:shd w:val="clear" w:color="auto" w:fill="auto"/>
        <w:bidi w:val="0"/>
        <w:jc w:val="center"/>
        <w:spacing w:before="0" w:after="0" w:line="210" w:lineRule="exact"/>
        <w:ind w:left="0" w:right="0" w:firstLine="0"/>
      </w:pPr>
      <w:r>
        <w:rPr>
          <w:rStyle w:val="CharStyle15"/>
          <w:lang w:val="en-US" w:eastAsia="en-US" w:bidi="en-US"/>
          <w:spacing w:val="0"/>
        </w:rPr>
        <w:t>■; ■v</w:t>
      </w:r>
      <w:r>
        <w:rPr>
          <w:rStyle w:val="CharStyle15"/>
          <w:lang w:val="en-US" w:eastAsia="en-US" w:bidi="en-US"/>
          <w:vertAlign w:val="superscript"/>
          <w:spacing w:val="0"/>
        </w:rPr>
        <w:t>:</w:t>
      </w:r>
      <w:r>
        <w:rPr>
          <w:rStyle w:val="CharStyle15"/>
          <w:lang w:val="en-US" w:eastAsia="en-US" w:bidi="en-US"/>
          <w:spacing w:val="0"/>
        </w:rPr>
        <w:t>u</w:t>
      </w:r>
    </w:p>
    <w:p>
      <w:pPr>
        <w:pStyle w:val="Style12"/>
        <w:framePr w:w="352" w:h="641" w:wrap="none" w:vAnchor="text" w:hAnchor="margin" w:x="-47" w:y="190"/>
        <w:widowControl w:val="0"/>
        <w:keepNext w:val="0"/>
        <w:keepLines w:val="0"/>
        <w:shd w:val="clear" w:color="auto" w:fill="auto"/>
        <w:bidi w:val="0"/>
        <w:jc w:val="left"/>
        <w:spacing w:before="0" w:after="37" w:line="210" w:lineRule="exact"/>
        <w:ind w:left="100" w:right="0" w:firstLine="0"/>
      </w:pPr>
      <w:r>
        <w:rPr>
          <w:rStyle w:val="CharStyle15"/>
          <w:lang w:val="en-US" w:eastAsia="en-US" w:bidi="en-US"/>
          <w:spacing w:val="0"/>
        </w:rPr>
        <w:t>V</w:t>
      </w:r>
    </w:p>
    <w:p>
      <w:pPr>
        <w:pStyle w:val="Style39"/>
        <w:framePr w:w="352" w:h="641" w:wrap="none" w:vAnchor="text" w:hAnchor="margin" w:x="-47" w:y="190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w w:val="100"/>
          <w:spacing w:val="0"/>
          <w:color w:val="000000"/>
          <w:position w:val="0"/>
        </w:rPr>
        <w:t>■i</w:t>
      </w:r>
    </w:p>
    <w:p>
      <w:pPr>
        <w:pStyle w:val="Style12"/>
        <w:framePr w:w="352" w:h="641" w:wrap="none" w:vAnchor="text" w:hAnchor="margin" w:x="-47" w:y="190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1"/>
          <w:spacing w:val="0"/>
        </w:rPr>
        <w:t>й.</w:t>
      </w:r>
    </w:p>
    <w:p>
      <w:pPr>
        <w:pStyle w:val="Style12"/>
        <w:framePr w:w="230" w:h="210" w:wrap="none" w:vAnchor="text" w:hAnchor="margin" w:x="6069" w:y="116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5"/>
          <w:lang w:val="en-US" w:eastAsia="en-US" w:bidi="en-US"/>
          <w:spacing w:val="0"/>
        </w:rPr>
        <w:t>••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15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3663" w:left="5204" w:right="5204" w:bottom="3663" w:header="0" w:footer="3" w:gutter="0"/>
          <w:rtlGutter w:val="0"/>
          <w:cols w:space="720"/>
          <w:noEndnote/>
          <w:docGrid w:linePitch="360"/>
        </w:sectPr>
      </w:pPr>
    </w:p>
    <w:p>
      <w:pPr>
        <w:pStyle w:val="Style42"/>
        <w:tabs>
          <w:tab w:leader="none" w:pos="1181" w:val="right"/>
        </w:tabs>
        <w:widowControl w:val="0"/>
        <w:keepNext w:val="0"/>
        <w:keepLines w:val="0"/>
        <w:shd w:val="clear" w:color="auto" w:fill="auto"/>
        <w:bidi w:val="0"/>
        <w:spacing w:before="0" w:after="0" w:line="120" w:lineRule="exact"/>
        <w:ind w:left="220" w:right="0" w:firstLine="0"/>
      </w:pPr>
      <w:r>
        <w:rPr>
          <w:w w:val="100"/>
          <w:color w:val="000000"/>
          <w:position w:val="0"/>
        </w:rPr>
        <w:t>i.: '.'x</w:t>
        <w:tab/>
        <w:t>•;</w:t>
      </w:r>
    </w:p>
    <w:p>
      <w:pPr>
        <w:pStyle w:val="Style44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spacing w:val="0"/>
          <w:color w:val="000000"/>
          <w:position w:val="0"/>
        </w:rPr>
        <w:t xml:space="preserve">V </w:t>
      </w:r>
      <w:r>
        <w:rPr>
          <w:lang w:val="ru-RU" w:eastAsia="ru-RU" w:bidi="ru-RU"/>
          <w:spacing w:val="0"/>
          <w:color w:val="000000"/>
          <w:position w:val="0"/>
        </w:rPr>
        <w:t xml:space="preserve">ьсх. </w:t>
      </w:r>
      <w:r>
        <w:rPr>
          <w:spacing w:val="0"/>
          <w:color w:val="000000"/>
          <w:position w:val="0"/>
        </w:rPr>
        <w:t xml:space="preserve">::v '• </w:t>
      </w:r>
      <w:r>
        <w:rPr>
          <w:vertAlign w:val="superscript"/>
          <w:spacing w:val="0"/>
          <w:color w:val="000000"/>
          <w:position w:val="0"/>
        </w:rPr>
        <w:t>;</w:t>
      </w:r>
      <w:r>
        <w:rPr>
          <w:spacing w:val="0"/>
          <w:color w:val="000000"/>
          <w:position w:val="0"/>
        </w:rPr>
        <w:t xml:space="preserve"> </w:t>
      </w:r>
      <w:r>
        <w:rPr>
          <w:rStyle w:val="CharStyle46"/>
        </w:rPr>
        <w:t>• ■ •:</w:t>
      </w:r>
    </w:p>
    <w:p>
      <w:pPr>
        <w:pStyle w:val="Style47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rStyle w:val="CharStyle49"/>
          <w:i w:val="0"/>
          <w:iCs w:val="0"/>
        </w:rPr>
        <w:t xml:space="preserve">H </w:t>
      </w:r>
      <w:r>
        <w:rPr>
          <w:w w:val="100"/>
          <w:color w:val="000000"/>
          <w:position w:val="0"/>
        </w:rPr>
        <w:t>i.y."</w:t>
      </w:r>
      <w:r>
        <w:rPr>
          <w:rStyle w:val="CharStyle49"/>
          <w:i w:val="0"/>
          <w:iCs w:val="0"/>
        </w:rPr>
        <w:t xml:space="preserve"> </w:t>
      </w:r>
      <w:r>
        <w:rPr>
          <w:rStyle w:val="CharStyle50"/>
          <w:i w:val="0"/>
          <w:iCs w:val="0"/>
        </w:rPr>
        <w:t>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right"/>
        <w:spacing w:before="0" w:after="0" w:line="230" w:lineRule="exact"/>
        <w:ind w:left="0" w:right="2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'</w:t>
      </w:r>
    </w:p>
    <w:sectPr>
      <w:type w:val="continuous"/>
      <w:pgSz w:w="16838" w:h="23810"/>
      <w:pgMar w:top="8920" w:left="7137" w:right="8314" w:bottom="740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8"/>
        <w:szCs w:val="18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8"/>
        <w:szCs w:val="18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8"/>
        <w:szCs w:val="18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5) Exact"/>
    <w:basedOn w:val="DefaultParagraphFont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9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9">
    <w:name w:val="Основной текст (3)"/>
    <w:basedOn w:val="CharStyle8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1">
    <w:name w:val="Основной текст (4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17"/>
      <w:szCs w:val="17"/>
      <w:rFonts w:ascii="Tahoma" w:eastAsia="Tahoma" w:hAnsi="Tahoma" w:cs="Tahoma"/>
    </w:rPr>
  </w:style>
  <w:style w:type="character" w:customStyle="1" w:styleId="CharStyle13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4">
    <w:name w:val="Основной текст (5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7"/>
    </w:rPr>
  </w:style>
  <w:style w:type="character" w:customStyle="1" w:styleId="CharStyle16">
    <w:name w:val="Основной текст + Курсив,Интервал 0 pt Exact"/>
    <w:basedOn w:val="CharStyle13"/>
    <w:rPr>
      <w:lang w:val="ru-RU" w:eastAsia="ru-RU" w:bidi="ru-RU"/>
      <w:i/>
      <w:iCs/>
      <w:sz w:val="21"/>
      <w:szCs w:val="21"/>
      <w:w w:val="100"/>
      <w:spacing w:val="2"/>
      <w:color w:val="000000"/>
      <w:position w:val="0"/>
    </w:rPr>
  </w:style>
  <w:style w:type="character" w:customStyle="1" w:styleId="CharStyle17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5"/>
    </w:rPr>
  </w:style>
  <w:style w:type="character" w:customStyle="1" w:styleId="CharStyle18">
    <w:name w:val="Основной текст + Полужирный,Интервал 0 pt Exact"/>
    <w:basedOn w:val="CharStyle13"/>
    <w:rPr>
      <w:lang w:val="ru-RU" w:eastAsia="ru-RU" w:bidi="ru-RU"/>
      <w:b/>
      <w:bCs/>
      <w:sz w:val="21"/>
      <w:szCs w:val="21"/>
      <w:w w:val="100"/>
      <w:spacing w:val="5"/>
      <w:color w:val="000000"/>
      <w:position w:val="0"/>
    </w:rPr>
  </w:style>
  <w:style w:type="character" w:customStyle="1" w:styleId="CharStyle20">
    <w:name w:val="Основной текст (6)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9"/>
      <w:szCs w:val="9"/>
      <w:rFonts w:ascii="Consolas" w:eastAsia="Consolas" w:hAnsi="Consolas" w:cs="Consolas"/>
    </w:rPr>
  </w:style>
  <w:style w:type="character" w:customStyle="1" w:styleId="CharStyle22">
    <w:name w:val="Основной текст (7)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20"/>
      <w:szCs w:val="20"/>
      <w:rFonts w:ascii="Consolas" w:eastAsia="Consolas" w:hAnsi="Consolas" w:cs="Consolas"/>
      <w:spacing w:val="-30"/>
    </w:rPr>
  </w:style>
  <w:style w:type="character" w:customStyle="1" w:styleId="CharStyle23">
    <w:name w:val="Основной текст (7) + Интервал 0 pt"/>
    <w:basedOn w:val="CharStyle2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4">
    <w:name w:val="Основной текст + 9 pt"/>
    <w:basedOn w:val="CharStyle13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character" w:customStyle="1" w:styleId="CharStyle25">
    <w:name w:val="Основной текст + 9 pt,Полужирный"/>
    <w:basedOn w:val="CharStyle13"/>
    <w:rPr>
      <w:lang w:val="ru-RU" w:eastAsia="ru-RU" w:bidi="ru-RU"/>
      <w:b/>
      <w:bCs/>
      <w:sz w:val="18"/>
      <w:szCs w:val="18"/>
      <w:w w:val="100"/>
      <w:spacing w:val="0"/>
      <w:color w:val="000000"/>
      <w:position w:val="0"/>
    </w:rPr>
  </w:style>
  <w:style w:type="character" w:customStyle="1" w:styleId="CharStyle26">
    <w:name w:val="Основной текст + 9 pt"/>
    <w:basedOn w:val="CharStyle13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character" w:customStyle="1" w:styleId="CharStyle27">
    <w:name w:val="Основной текст (5)"/>
    <w:basedOn w:val="CharStyle1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9">
    <w:name w:val="Заголовок №1_"/>
    <w:basedOn w:val="DefaultParagraphFont"/>
    <w:link w:val="Style28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0">
    <w:name w:val="Основной текст + Полужирный"/>
    <w:basedOn w:val="CharStyle13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1">
    <w:name w:val="Основной текст + 12 pt,Курсив"/>
    <w:basedOn w:val="CharStyle13"/>
    <w:rPr>
      <w:lang w:val="en-US" w:eastAsia="en-US" w:bidi="en-US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33">
    <w:name w:val="Основной текст (8) Exact"/>
    <w:basedOn w:val="DefaultParagraphFont"/>
    <w:link w:val="Style32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8"/>
      <w:szCs w:val="8"/>
      <w:rFonts w:ascii="Segoe UI" w:eastAsia="Segoe UI" w:hAnsi="Segoe UI" w:cs="Segoe UI"/>
      <w:spacing w:val="5"/>
    </w:rPr>
  </w:style>
  <w:style w:type="character" w:customStyle="1" w:styleId="CharStyle35">
    <w:name w:val="Основной текст (9) Exact"/>
    <w:basedOn w:val="DefaultParagraphFont"/>
    <w:link w:val="Style34"/>
    <w:rPr>
      <w:b/>
      <w:bCs/>
      <w:i w:val="0"/>
      <w:iCs w:val="0"/>
      <w:u w:val="none"/>
      <w:strike w:val="0"/>
      <w:smallCaps w:val="0"/>
      <w:sz w:val="12"/>
      <w:szCs w:val="12"/>
      <w:rFonts w:ascii="Tahoma" w:eastAsia="Tahoma" w:hAnsi="Tahoma" w:cs="Tahoma"/>
      <w:w w:val="40"/>
      <w:spacing w:val="4"/>
    </w:rPr>
  </w:style>
  <w:style w:type="character" w:customStyle="1" w:styleId="CharStyle36">
    <w:name w:val="Основной текст (7) Exact"/>
    <w:basedOn w:val="DefaultParagraphFont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0"/>
      <w:szCs w:val="20"/>
      <w:rFonts w:ascii="Consolas" w:eastAsia="Consolas" w:hAnsi="Consolas" w:cs="Consolas"/>
      <w:spacing w:val="-25"/>
    </w:rPr>
  </w:style>
  <w:style w:type="character" w:customStyle="1" w:styleId="CharStyle37">
    <w:name w:val="Основной текст (7) + Интервал 0 pt Exact"/>
    <w:basedOn w:val="CharStyle22"/>
    <w:rPr>
      <w:lang w:val="en-US" w:eastAsia="en-US" w:bidi="en-US"/>
      <w:w w:val="100"/>
      <w:spacing w:val="-4"/>
      <w:color w:val="000000"/>
      <w:position w:val="0"/>
    </w:rPr>
  </w:style>
  <w:style w:type="character" w:customStyle="1" w:styleId="CharStyle38">
    <w:name w:val="Основной текст (7) + Курсив,Интервал 0 pt Exact"/>
    <w:basedOn w:val="CharStyle22"/>
    <w:rPr>
      <w:lang w:val="en-US" w:eastAsia="en-US" w:bidi="en-US"/>
      <w:i/>
      <w:iCs/>
      <w:w w:val="100"/>
      <w:spacing w:val="0"/>
      <w:color w:val="000000"/>
      <w:position w:val="0"/>
    </w:rPr>
  </w:style>
  <w:style w:type="character" w:customStyle="1" w:styleId="CharStyle40">
    <w:name w:val="Основной текст (10) Exact"/>
    <w:basedOn w:val="DefaultParagraphFont"/>
    <w:link w:val="Style39"/>
    <w:rPr>
      <w:lang w:val="en-US" w:eastAsia="en-US" w:bidi="en-US"/>
      <w:b w:val="0"/>
      <w:bCs w:val="0"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"/>
    </w:rPr>
  </w:style>
  <w:style w:type="character" w:customStyle="1" w:styleId="CharStyle41">
    <w:name w:val="Основной текст + Малые прописные Exact"/>
    <w:basedOn w:val="CharStyle13"/>
    <w:rPr>
      <w:lang w:val="ru-RU" w:eastAsia="ru-RU" w:bidi="ru-RU"/>
      <w:smallCaps/>
      <w:sz w:val="21"/>
      <w:szCs w:val="21"/>
      <w:w w:val="100"/>
      <w:spacing w:val="7"/>
      <w:color w:val="000000"/>
      <w:position w:val="0"/>
    </w:rPr>
  </w:style>
  <w:style w:type="character" w:customStyle="1" w:styleId="CharStyle43">
    <w:name w:val="Основной текст (11)_"/>
    <w:basedOn w:val="DefaultParagraphFont"/>
    <w:link w:val="Style42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2"/>
      <w:szCs w:val="12"/>
      <w:rFonts w:ascii="Trebuchet MS" w:eastAsia="Trebuchet MS" w:hAnsi="Trebuchet MS" w:cs="Trebuchet MS"/>
      <w:spacing w:val="20"/>
    </w:rPr>
  </w:style>
  <w:style w:type="character" w:customStyle="1" w:styleId="CharStyle45">
    <w:name w:val="Основной текст (12)_"/>
    <w:basedOn w:val="DefaultParagraphFont"/>
    <w:link w:val="Style44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9"/>
      <w:szCs w:val="19"/>
      <w:rFonts w:ascii="Consolas" w:eastAsia="Consolas" w:hAnsi="Consolas" w:cs="Consolas"/>
      <w:w w:val="50"/>
    </w:rPr>
  </w:style>
  <w:style w:type="character" w:customStyle="1" w:styleId="CharStyle46">
    <w:name w:val="Основной текст (12) + Times New Roman,11,5 pt,Масштаб 100%"/>
    <w:basedOn w:val="CharStyle45"/>
    <w:rPr>
      <w:sz w:val="23"/>
      <w:szCs w:val="23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48">
    <w:name w:val="Основной текст (13)_"/>
    <w:basedOn w:val="DefaultParagraphFont"/>
    <w:link w:val="Style47"/>
    <w:rPr>
      <w:lang w:val="en-US" w:eastAsia="en-US" w:bidi="en-US"/>
      <w:b w:val="0"/>
      <w:bCs w:val="0"/>
      <w:i/>
      <w:iCs/>
      <w:u w:val="none"/>
      <w:strike w:val="0"/>
      <w:smallCaps w:val="0"/>
      <w:sz w:val="11"/>
      <w:szCs w:val="11"/>
      <w:rFonts w:ascii="Consolas" w:eastAsia="Consolas" w:hAnsi="Consolas" w:cs="Consolas"/>
      <w:spacing w:val="-20"/>
    </w:rPr>
  </w:style>
  <w:style w:type="character" w:customStyle="1" w:styleId="CharStyle49">
    <w:name w:val="Основной текст (13) + Arial,9 pt,Не курсив,Интервал 0 pt"/>
    <w:basedOn w:val="CharStyle48"/>
    <w:rPr>
      <w:i/>
      <w:iCs/>
      <w:sz w:val="18"/>
      <w:szCs w:val="18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50">
    <w:name w:val="Основной текст (13) + 10 pt,Не курсив,Интервал -1 pt"/>
    <w:basedOn w:val="CharStyle48"/>
    <w:rPr>
      <w:i/>
      <w:iCs/>
      <w:sz w:val="20"/>
      <w:szCs w:val="20"/>
      <w:w w:val="100"/>
      <w:spacing w:val="-30"/>
      <w:color w:val="000000"/>
      <w:position w:val="0"/>
    </w:rPr>
  </w:style>
  <w:style w:type="paragraph" w:customStyle="1" w:styleId="Style3">
    <w:name w:val="Основной текст (5)"/>
    <w:basedOn w:val="Normal"/>
    <w:link w:val="CharStyle14"/>
    <w:pPr>
      <w:widowControl w:val="0"/>
      <w:shd w:val="clear" w:color="auto" w:fill="FFFFFF"/>
      <w:spacing w:before="240" w:after="240" w:line="252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after="180" w:line="277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180" w:after="780" w:line="184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spacing w:before="780"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ahoma" w:eastAsia="Tahoma" w:hAnsi="Tahoma" w:cs="Tahoma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FFFFFF"/>
      <w:spacing w:after="240" w:line="274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9">
    <w:name w:val="Основной текст (6)"/>
    <w:basedOn w:val="Normal"/>
    <w:link w:val="CharStyle20"/>
    <w:pPr>
      <w:widowControl w:val="0"/>
      <w:shd w:val="clear" w:color="auto" w:fill="FFFFFF"/>
      <w:jc w:val="both"/>
      <w:spacing w:after="120" w:line="0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Consolas" w:eastAsia="Consolas" w:hAnsi="Consolas" w:cs="Consolas"/>
    </w:rPr>
  </w:style>
  <w:style w:type="paragraph" w:customStyle="1" w:styleId="Style21">
    <w:name w:val="Основной текст (7)"/>
    <w:basedOn w:val="Normal"/>
    <w:link w:val="CharStyle22"/>
    <w:pPr>
      <w:widowControl w:val="0"/>
      <w:shd w:val="clear" w:color="auto" w:fill="FFFFFF"/>
      <w:jc w:val="both"/>
      <w:spacing w:after="12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Consolas" w:eastAsia="Consolas" w:hAnsi="Consolas" w:cs="Consolas"/>
      <w:spacing w:val="-30"/>
    </w:rPr>
  </w:style>
  <w:style w:type="paragraph" w:customStyle="1" w:styleId="Style28">
    <w:name w:val="Заголовок №1"/>
    <w:basedOn w:val="Normal"/>
    <w:link w:val="CharStyle29"/>
    <w:pPr>
      <w:widowControl w:val="0"/>
      <w:shd w:val="clear" w:color="auto" w:fill="FFFFFF"/>
      <w:jc w:val="both"/>
      <w:outlineLvl w:val="0"/>
      <w:spacing w:before="300" w:after="30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2">
    <w:name w:val="Основной текст (8)"/>
    <w:basedOn w:val="Normal"/>
    <w:link w:val="CharStyle33"/>
    <w:pPr>
      <w:widowControl w:val="0"/>
      <w:shd w:val="clear" w:color="auto" w:fill="FFFFFF"/>
      <w:spacing w:before="120" w:after="12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8"/>
      <w:szCs w:val="8"/>
      <w:rFonts w:ascii="Segoe UI" w:eastAsia="Segoe UI" w:hAnsi="Segoe UI" w:cs="Segoe UI"/>
      <w:spacing w:val="5"/>
    </w:rPr>
  </w:style>
  <w:style w:type="paragraph" w:customStyle="1" w:styleId="Style34">
    <w:name w:val="Основной текст (9)"/>
    <w:basedOn w:val="Normal"/>
    <w:link w:val="CharStyle35"/>
    <w:pPr>
      <w:widowControl w:val="0"/>
      <w:shd w:val="clear" w:color="auto" w:fill="FFFFFF"/>
      <w:spacing w:before="120" w:line="148" w:lineRule="exact"/>
    </w:pPr>
    <w:rPr>
      <w:b/>
      <w:bCs/>
      <w:i w:val="0"/>
      <w:iCs w:val="0"/>
      <w:u w:val="none"/>
      <w:strike w:val="0"/>
      <w:smallCaps w:val="0"/>
      <w:sz w:val="12"/>
      <w:szCs w:val="12"/>
      <w:rFonts w:ascii="Tahoma" w:eastAsia="Tahoma" w:hAnsi="Tahoma" w:cs="Tahoma"/>
      <w:w w:val="40"/>
      <w:spacing w:val="4"/>
    </w:rPr>
  </w:style>
  <w:style w:type="paragraph" w:customStyle="1" w:styleId="Style39">
    <w:name w:val="Основной текст (10)"/>
    <w:basedOn w:val="Normal"/>
    <w:link w:val="CharStyle40"/>
    <w:pPr>
      <w:widowControl w:val="0"/>
      <w:shd w:val="clear" w:color="auto" w:fill="FFFFFF"/>
      <w:spacing w:before="6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"/>
    </w:rPr>
  </w:style>
  <w:style w:type="paragraph" w:customStyle="1" w:styleId="Style42">
    <w:name w:val="Основной текст (11)"/>
    <w:basedOn w:val="Normal"/>
    <w:link w:val="CharStyle43"/>
    <w:pPr>
      <w:widowControl w:val="0"/>
      <w:shd w:val="clear" w:color="auto" w:fill="FFFFFF"/>
      <w:jc w:val="both"/>
      <w:spacing w:after="6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2"/>
      <w:szCs w:val="12"/>
      <w:rFonts w:ascii="Trebuchet MS" w:eastAsia="Trebuchet MS" w:hAnsi="Trebuchet MS" w:cs="Trebuchet MS"/>
      <w:spacing w:val="20"/>
    </w:rPr>
  </w:style>
  <w:style w:type="paragraph" w:customStyle="1" w:styleId="Style44">
    <w:name w:val="Основной текст (12)"/>
    <w:basedOn w:val="Normal"/>
    <w:link w:val="CharStyle45"/>
    <w:pPr>
      <w:widowControl w:val="0"/>
      <w:shd w:val="clear" w:color="auto" w:fill="FFFFFF"/>
      <w:jc w:val="both"/>
      <w:spacing w:before="60" w:line="274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9"/>
      <w:szCs w:val="19"/>
      <w:rFonts w:ascii="Consolas" w:eastAsia="Consolas" w:hAnsi="Consolas" w:cs="Consolas"/>
      <w:w w:val="50"/>
    </w:rPr>
  </w:style>
  <w:style w:type="paragraph" w:customStyle="1" w:styleId="Style47">
    <w:name w:val="Основной текст (13)"/>
    <w:basedOn w:val="Normal"/>
    <w:link w:val="CharStyle48"/>
    <w:pPr>
      <w:widowControl w:val="0"/>
      <w:shd w:val="clear" w:color="auto" w:fill="FFFFFF"/>
      <w:jc w:val="right"/>
      <w:spacing w:line="274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11"/>
      <w:szCs w:val="11"/>
      <w:rFonts w:ascii="Consolas" w:eastAsia="Consolas" w:hAnsi="Consolas" w:cs="Consolas"/>
      <w:spacing w:val="-2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