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framePr w:h="159" w:wrap="around" w:vAnchor="text" w:hAnchor="margin" w:x="2303" w:y="4852"/>
        <w:widowControl w:val="0"/>
        <w:keepNext w:val="0"/>
        <w:keepLines w:val="0"/>
        <w:shd w:val="clear" w:color="auto" w:fill="auto"/>
        <w:bidi w:val="0"/>
        <w:jc w:val="left"/>
        <w:spacing w:before="0" w:after="0" w:line="160" w:lineRule="exact"/>
        <w:ind w:left="100" w:right="0" w:firstLine="0"/>
      </w:pPr>
      <w:r>
        <w:rPr>
          <w:rStyle w:val="CharStyle4"/>
          <w:spacing w:val="0"/>
        </w:rPr>
        <w:t>ОТ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322" w:after="83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186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 Федеральной антимонопольной службы по Ростовской области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4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пр. Ворошиловский. 2/2. офис 403 г. Ростов-на-Дону. 344006 тел. (863) 263-31-04, факс (863) 240-99-59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color w:val="000000"/>
        </w:rPr>
        <w:instrText> HYPERLINK "mailto:to61@fas.gov.ru"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to61@fas.gov.ru</w:t>
      </w:r>
      <w:r>
        <w:fldChar w:fldCharType="end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spacing w:before="0" w:after="295" w:line="220" w:lineRule="exact"/>
        <w:ind w:left="0" w:right="320" w:firstLine="0"/>
      </w:pPr>
      <w:r>
        <w:rPr>
          <w:rStyle w:val="CharStyle12"/>
          <w:lang w:val="ru-RU" w:eastAsia="ru-RU" w:bidi="ru-RU"/>
          <w:i/>
          <w:iCs/>
        </w:rPr>
        <w:t xml:space="preserve">Ю. </w:t>
      </w:r>
      <w:r>
        <w:rPr>
          <w:rStyle w:val="CharStyle12"/>
          <w:i/>
          <w:iCs/>
        </w:rPr>
        <w:t>fh.</w:t>
      </w:r>
      <w:r>
        <w:rPr>
          <w:rStyle w:val="CharStyle13"/>
          <w:lang w:val="en-US" w:eastAsia="en-US" w:bidi="en-US"/>
          <w:i w:val="0"/>
          <w:iCs w:val="0"/>
        </w:rPr>
        <w:t xml:space="preserve"> </w:t>
      </w:r>
      <w:r>
        <w:rPr>
          <w:rStyle w:val="CharStyle13"/>
          <w:vertAlign w:val="subscript"/>
          <w:i w:val="0"/>
          <w:iCs w:val="0"/>
        </w:rPr>
        <w:t>№</w:t>
      </w:r>
      <w:r>
        <w:rPr>
          <w:rStyle w:val="CharStyle13"/>
          <w:i w:val="0"/>
          <w:iCs w:val="0"/>
        </w:rPr>
        <w:t xml:space="preserve"> </w:t>
      </w:r>
      <w:r>
        <w:rPr>
          <w:rStyle w:val="CharStyle12"/>
          <w:i/>
          <w:iCs/>
        </w:rPr>
        <w:t>dojiio/oS’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243" w:line="292" w:lineRule="exact"/>
        <w:ind w:left="6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«Торговый дом «Эталон» (далее - Заявитель)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240" w:line="288" w:lineRule="exact"/>
        <w:ind w:left="6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125195. г. Москва. Ленинградское шоссе. 57. стр. 7 </w:t>
      </w:r>
      <w:r>
        <w:fldChar w:fldCharType="begin"/>
      </w:r>
      <w:r>
        <w:rPr>
          <w:rStyle w:val="CharStyle16"/>
        </w:rPr>
        <w:instrText> HYPERLINK "mailto:equator.torg@yandex.ru" </w:instrText>
      </w:r>
      <w:r>
        <w:fldChar w:fldCharType="separate"/>
      </w:r>
      <w:r>
        <w:rPr>
          <w:rStyle w:val="Hyperlink"/>
        </w:rPr>
        <w:t>equator.torg@yandex.ru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8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МБУЗ «Городская больница № 1 г. Ростова-на-Дону им. Н.А. Семашко »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237" w:line="288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(далее - Заказчик)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297" w:line="29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344000. г. Ростов-на-Дону, пр. Ворошиловский. 105. 243. 264 </w:t>
      </w:r>
      <w:r>
        <w:fldChar w:fldCharType="begin"/>
      </w:r>
      <w:r>
        <w:rPr>
          <w:color w:val="000000"/>
        </w:rPr>
        <w:instrText> HYPERLINK "mailto:karinatovmosyan@mail.ru"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karinatovmosyan@mail.ru</w:t>
      </w:r>
      <w:r>
        <w:fldChar w:fldCharType="end"/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right"/>
        <w:spacing w:before="0" w:after="0" w:line="220" w:lineRule="exact"/>
        <w:ind w:left="0" w:right="20" w:firstLine="0"/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0" w:left="1112" w:right="658" w:bottom="29" w:header="0" w:footer="3" w:gutter="0"/>
          <w:rtlGutter w:val="0"/>
          <w:cols w:num="2" w:space="720" w:equalWidth="0">
            <w:col w:w="4766" w:space="1112"/>
            <w:col w:w="4255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ЭТП: </w:t>
      </w:r>
      <w:r>
        <w:fldChar w:fldCharType="begin"/>
      </w:r>
      <w:r>
        <w:rPr>
          <w:color w:val="000000"/>
        </w:rPr>
        <w:instrText> HYPERLINK "mailto:ko@sberbank-ast.ru"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ko@sberbank-ast.ru</w:t>
      </w:r>
      <w:r>
        <w:fldChar w:fldCharType="end"/>
      </w:r>
    </w:p>
    <w:p>
      <w:pPr>
        <w:widowControl w:val="0"/>
        <w:spacing w:before="63" w:after="63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9" w:line="220" w:lineRule="exact"/>
        <w:ind w:left="51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</w:t>
      </w:r>
    </w:p>
    <w:p>
      <w:pPr>
        <w:pStyle w:val="Style14"/>
        <w:tabs>
          <w:tab w:leader="none" w:pos="8334" w:val="center"/>
          <w:tab w:leader="none" w:pos="10181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69" w:line="22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26 октября 2017 года</w:t>
        <w:tab/>
        <w:t>г.</w:t>
        <w:tab/>
        <w:t>Ростов-на-Дону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Ростовской области (далее - Ростовское УФ АС России) по контролю в сфере размещения заказов в составе:</w:t>
      </w:r>
    </w:p>
    <w:p>
      <w:pPr>
        <w:pStyle w:val="Style14"/>
        <w:tabs>
          <w:tab w:leader="none" w:pos="53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  <w:tab/>
        <w:t>Кожемяко Н.А.</w:t>
      </w:r>
    </w:p>
    <w:p>
      <w:pPr>
        <w:pStyle w:val="Style14"/>
        <w:tabs>
          <w:tab w:leader="none" w:pos="533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4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  <w:tab/>
        <w:t>КикичеваЯ.В.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4" w:lineRule="exact"/>
        <w:ind w:left="538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Вишненко А.К.,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92" w:line="28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в присутствии представителя Заказчика, отсутствие представителя Заявителя (надлежаще извещенного) дело № 2098/05 по жалобе Заявителя о нарушении Заказчиком норм Федерального Закона от 05.04.2013г. </w:t>
      </w:r>
      <w:r>
        <w:rPr>
          <w:rStyle w:val="CharStyle17"/>
        </w:rPr>
        <w:t>N°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при проведении открытого аукциона в электронной форме </w:t>
      </w:r>
      <w:r>
        <w:rPr>
          <w:rStyle w:val="CharStyle17"/>
        </w:rPr>
        <w:t xml:space="preserve">N°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0358300068917000345 на «Поставку лекарственных средств для нужд Заказчика»,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266" w:line="220" w:lineRule="exact"/>
        <w:ind w:left="48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ООО «Торговый дом «Эталон» поступила в Ростовское У ФАС России 20.10.2017г. (вх. № 15965). Согласно доводам жалобы, Заказчик утвердил аукционную документацию с нарушением требований Закона о контрактной системе, что призело к необоснованному ограничению количества участников закупки, а именно - установил в техническом задании совокупность характеристик таким образом, что к поставке возможен товар только одного производителя, поставка эквивалента невозможна.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Заказчика, присутствующий на рассмотрении дела, с доводами жалобы те согласилась, представила возражения.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Комиссия, по результатам рассмотрения жаяобы и проведения в соответствии с ч. 15 ст. 99 Закона о контрактной системе внеплановой проверки, установила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 11.10.2017г. разместил на официальном сайте </w:t>
      </w:r>
      <w:r>
        <w:fldChar w:fldCharType="begin"/>
      </w:r>
      <w:r>
        <w:rPr>
          <w:color w:val="000000"/>
        </w:rPr>
        <w:instrText> HYPERLINK "http://www.zakupki.gov.ru"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www.zakupki.gov.ru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в ЕИС и электронной торговой площадке ЗАО «Сбербанк-АСТ» извещение о проведении открытого аукциона в электронной форме № 0358300068917000345 (далее - аукцион). Предмет закупки - «Поставку лекарственных средств для нужд Заказчика».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8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установлена в размере 472 750 рублей.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182" w:line="288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Приложение № 2 аукционной документации «Описание объекта закупки» содержит требования к товару и его описание - технические характеристики:</w:t>
      </w:r>
    </w:p>
    <w:p>
      <w:pPr>
        <w:pStyle w:val="Style18"/>
        <w:widowControl w:val="0"/>
        <w:keepNext/>
        <w:keepLines/>
        <w:shd w:val="clear" w:color="auto" w:fill="auto"/>
        <w:bidi w:val="0"/>
        <w:spacing w:before="0" w:after="0" w:line="360" w:lineRule="exact"/>
        <w:ind w:left="0" w:right="2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007640</w:t>
      </w:r>
      <w:bookmarkEnd w:id="0"/>
      <w:r>
        <w:br w:type="page"/>
      </w:r>
    </w:p>
    <w:tbl>
      <w:tblPr>
        <w:tblOverlap w:val="never"/>
        <w:tblLayout w:type="fixed"/>
        <w:jc w:val="center"/>
      </w:tblPr>
      <w:tblGrid>
        <w:gridCol w:w="2856"/>
        <w:gridCol w:w="3586"/>
        <w:gridCol w:w="1829"/>
        <w:gridCol w:w="2726"/>
      </w:tblGrid>
      <w:tr>
        <w:trPr>
          <w:trHeight w:val="26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30" w:lineRule="exact"/>
              <w:ind w:left="0" w:right="0" w:firstLine="0"/>
            </w:pPr>
            <w:r>
              <w:rPr>
                <w:rStyle w:val="CharStyle22"/>
              </w:rPr>
              <w:t>мнн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форма выпуска, дозировка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ед. изм.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bottom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кол-во</w:t>
            </w:r>
          </w:p>
        </w:tc>
      </w:tr>
      <w:tr>
        <w:trPr>
          <w:trHeight w:val="634" w:hRule="exact"/>
        </w:trPr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Ампициллин+[Сульбактам]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bottom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6" w:lineRule="exact"/>
              <w:ind w:left="0" w:right="0" w:firstLine="0"/>
            </w:pPr>
            <w:r>
              <w:rPr>
                <w:rStyle w:val="CharStyle23"/>
              </w:rPr>
              <w:t>Порошок для приготовления раствора для внутривенного и внутримышечного введения 1000 мг+500 мг флакон №1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</w:tcBorders>
            <w:vAlign w:val="center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У пак.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</w:tcBorders>
            <w:vAlign w:val="center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2500</w:t>
            </w:r>
          </w:p>
        </w:tc>
      </w:tr>
      <w:tr>
        <w:trPr>
          <w:trHeight w:val="658" w:hRule="exact"/>
        </w:trPr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Ампициллин+[Сульбактам]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bottom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206" w:lineRule="exact"/>
              <w:ind w:left="0" w:right="0" w:firstLine="0"/>
            </w:pPr>
            <w:r>
              <w:rPr>
                <w:rStyle w:val="CharStyle23"/>
              </w:rPr>
              <w:t>Порошок для приготовления раствора для внутривенного и внутримышечного введения 2000 мг+1000 мг флакон №1</w:t>
            </w:r>
          </w:p>
        </w:tc>
        <w:tc>
          <w:tcPr>
            <w:shd w:val="clear" w:color="auto" w:fill="FFFFFF"/>
            <w:tcBorders>
              <w:lef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У пак.</w:t>
            </w:r>
          </w:p>
        </w:tc>
        <w:tc>
          <w:tcPr>
            <w:shd w:val="clear" w:color="auto" w:fill="FFFFFF"/>
            <w:tcBorders>
              <w:left w:val="single" w:sz="4"/>
              <w:right w:val="single" w:sz="4"/>
              <w:top w:val="single" w:sz="4"/>
              <w:bottom w:val="single" w:sz="4"/>
            </w:tcBorders>
            <w:vAlign w:val="center"/>
          </w:tcPr>
          <w:p>
            <w:pPr>
              <w:pStyle w:val="Style14"/>
              <w:framePr w:w="10997" w:wrap="notBeside" w:vAnchor="text" w:hAnchor="text" w:xAlign="center" w:y="1"/>
              <w:widowControl w:val="0"/>
              <w:keepNext w:val="0"/>
              <w:keepLines w:val="0"/>
              <w:shd w:val="clear" w:color="auto" w:fill="auto"/>
              <w:bidi w:val="0"/>
              <w:jc w:val="center"/>
              <w:spacing w:before="0" w:after="0" w:line="170" w:lineRule="exact"/>
              <w:ind w:left="0" w:right="0" w:firstLine="0"/>
            </w:pPr>
            <w:r>
              <w:rPr>
                <w:rStyle w:val="CharStyle23"/>
              </w:rPr>
              <w:t>250</w:t>
            </w:r>
          </w:p>
        </w:tc>
      </w:tr>
    </w:tbl>
    <w:p>
      <w:pPr>
        <w:pStyle w:val="Style20"/>
        <w:framePr w:w="10997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Заказчиком установлены требования к форме выпуска и дозировке лекарственного препарата, соответствующий только одному производителю - ООО «Джолас Экспоим», Россия).</w:t>
      </w:r>
    </w:p>
    <w:p>
      <w:pPr>
        <w:widowControl w:val="0"/>
        <w:rPr>
          <w:sz w:val="2"/>
          <w:szCs w:val="2"/>
        </w:rPr>
      </w:pP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Пунктом 1 части 1 статьи 64 Закона о контрактной системе установлено, что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</w:t>
      </w:r>
      <w:r>
        <w:rPr>
          <w:rStyle w:val="CharStyle24"/>
        </w:rPr>
        <w:t>статьей 33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Закона о контрактной системе, в том числе обоснование начальной (максимальной) цены контракта.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части 1 статьи 33 Закона о контрактной системе, описание Заказчиком в документации объекта закупки должно носить объективный характер. В описание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 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пояснили следующее.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 определении требований к закупаемой продукции Заказчик учитывает соответствие своим потребностям на закупаемый товар. Заказчик вправе включить в документацию об аукционе такие требования к характеристикам, которые отвечают его потребностям и необходимы для выполнения соответствующих государственных или муниципальных нужд.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Документация разрабатывалась исходя из потребностей Заказчика, с учетом требований к функциональным характеристикам и потребительским свойствам.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Применение препарата в форме выпуска 2000 мг. + 1000 мг. Порошок для приготовления раствора для внутривенного и внутримышечного введения обусловлено следующим: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уменьшается объем водной нагрузки у тяжелых пациентов;</w:t>
      </w:r>
    </w:p>
    <w:p>
      <w:pPr>
        <w:pStyle w:val="Style14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снижается риск микробной контаминации при частой смене инфузионной линии;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 распределил форму выпуска, выделив определенной количество для сложных,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0" w:line="283" w:lineRule="exact"/>
        <w:ind w:left="2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тяжелых случаев.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Так, 2500 закупается 1000мг.+500мг, а 250 закупается 2000мг.+1000мг.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Ростовского У ФАС России принимает довод Заказчика.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Постановлении Арбитражного суда Северо-Кавказского округа от 24.07.2015г. № Ф08- 5244/2015 по делу № А20-4177/2014 указано, что «Заказчик в аукционной документации установил требования к товару с учетом своих потребностей и исходя из специфики осуществляемого вида деятельности. Задачей законодательства о закупках является прежде всего выявление в результате торгов лица, исполнение контракта которым в наибольшей степени будет отвечать целям эффективного использования источников финансирования и потребностям заказчика в товаре, необходимом для осуществления его деятельности. Заказчик, установив необходимые ему требования к товару, действовал в соответствии со статьей 33 Закона о контрактной системе. Определение в аукционной документации требований к расходным материалам, необходимым Заказчику, с учетом специфики его использования при лечении не может рассматриваться как ограничение доступа к участию в аукционе».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6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Постановлении Арбитражного суда Московского округа от 04.10.2016г. по делу № А40- 8724/16 указано, что «в зависимости от своих потребностей заказчик в документации об аукционе</w:t>
      </w:r>
    </w:p>
    <w:p>
      <w:pPr>
        <w:pStyle w:val="Style25"/>
        <w:widowControl w:val="0"/>
        <w:keepNext w:val="0"/>
        <w:keepLines w:val="0"/>
        <w:shd w:val="clear" w:color="auto" w:fill="auto"/>
        <w:bidi w:val="0"/>
        <w:spacing w:before="0" w:after="0"/>
        <w:ind w:left="0" w:right="6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2</w:t>
      </w:r>
    </w:p>
    <w:p>
      <w:pPr>
        <w:pStyle w:val="Style27"/>
        <w:tabs>
          <w:tab w:leader="none" w:pos="3902" w:val="center"/>
          <w:tab w:leader="none" w:pos="4278" w:val="center"/>
          <w:tab w:leader="none" w:pos="4595" w:val="lef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980" w:right="0" w:firstLine="0"/>
      </w:pPr>
      <w:r>
        <w:rPr>
          <w:lang w:val="ru-RU" w:eastAsia="ru-RU" w:bidi="ru-RU"/>
          <w:w w:val="100"/>
          <w:color w:val="000000"/>
          <w:position w:val="0"/>
        </w:rPr>
        <w:t xml:space="preserve">• ". </w:t>
      </w:r>
      <w:r>
        <w:rPr>
          <w:lang w:val="en-US" w:eastAsia="en-US" w:bidi="en-US"/>
          <w:w w:val="100"/>
          <w:color w:val="000000"/>
          <w:position w:val="0"/>
        </w:rPr>
        <w:t xml:space="preserve">'if' </w:t>
      </w:r>
      <w:r>
        <w:rPr>
          <w:lang w:val="ru-RU" w:eastAsia="ru-RU" w:bidi="ru-RU"/>
          <w:w w:val="100"/>
          <w:color w:val="000000"/>
          <w:position w:val="0"/>
        </w:rPr>
        <w:t>IV- . п .•</w:t>
        <w:tab/>
        <w:t>V</w:t>
        <w:tab/>
      </w:r>
      <w:r>
        <w:rPr>
          <w:lang w:val="en-US" w:eastAsia="en-US" w:bidi="en-US"/>
          <w:w w:val="100"/>
          <w:color w:val="000000"/>
          <w:position w:val="0"/>
        </w:rPr>
        <w:t>Pfvc</w:t>
        <w:tab/>
      </w:r>
      <w:r>
        <w:rPr>
          <w:lang w:val="ru-RU" w:eastAsia="ru-RU" w:bidi="ru-RU"/>
          <w:w w:val="100"/>
          <w:color w:val="000000"/>
          <w:position w:val="0"/>
        </w:rPr>
        <w:t xml:space="preserve">СИТ-! Ир* </w:t>
      </w:r>
      <w:r>
        <w:rPr>
          <w:rStyle w:val="CharStyle29"/>
        </w:rPr>
        <w:t>\'У</w:t>
      </w:r>
      <w:r>
        <w:rPr>
          <w:lang w:val="ru-RU" w:eastAsia="ru-RU" w:bidi="ru-RU"/>
          <w:w w:val="100"/>
          <w:color w:val="000000"/>
          <w:position w:val="0"/>
        </w:rPr>
        <w:t xml:space="preserve"> • </w:t>
      </w:r>
      <w:r>
        <w:rPr>
          <w:lang w:val="en-US" w:eastAsia="en-US" w:bidi="en-US"/>
          <w:w w:val="100"/>
          <w:color w:val="000000"/>
          <w:position w:val="0"/>
        </w:rPr>
        <w:t xml:space="preserve">'IP- *‘V' </w:t>
      </w:r>
      <w:r>
        <w:rPr>
          <w:lang w:val="ru-RU" w:eastAsia="ru-RU" w:bidi="ru-RU"/>
          <w:w w:val="100"/>
          <w:color w:val="000000"/>
          <w:position w:val="0"/>
        </w:rPr>
        <w:t xml:space="preserve">' '' </w:t>
      </w:r>
      <w:r>
        <w:rPr>
          <w:lang w:val="en-US" w:eastAsia="en-US" w:bidi="en-US"/>
          <w:vertAlign w:val="superscript"/>
          <w:w w:val="100"/>
          <w:color w:val="000000"/>
          <w:position w:val="0"/>
        </w:rPr>
        <w:t xml:space="preserve">v </w:t>
      </w:r>
      <w:r>
        <w:rPr>
          <w:lang w:val="ru-RU" w:eastAsia="ru-RU" w:bidi="ru-RU"/>
          <w:vertAlign w:val="superscript"/>
          <w:w w:val="100"/>
          <w:color w:val="000000"/>
          <w:position w:val="0"/>
        </w:rPr>
        <w:t xml:space="preserve">; </w:t>
      </w:r>
      <w:r>
        <w:rPr>
          <w:rStyle w:val="CharStyle30"/>
          <w:vertAlign w:val="superscript"/>
        </w:rPr>
        <w:t>1</w:t>
      </w:r>
    </w:p>
    <w:p>
      <w:pPr>
        <w:pStyle w:val="Style14"/>
        <w:tabs>
          <w:tab w:leader="none" w:pos="3199" w:val="center"/>
          <w:tab w:leader="none" w:pos="3902" w:val="center"/>
          <w:tab w:leader="none" w:pos="4726" w:val="right"/>
          <w:tab w:leader="none" w:pos="4999" w:val="right"/>
          <w:tab w:leader="none" w:pos="5172" w:val="right"/>
          <w:tab w:leader="none" w:pos="5326" w:val="left"/>
          <w:tab w:leader="none" w:pos="6650" w:val="left"/>
          <w:tab w:leader="none" w:pos="7706" w:val="center"/>
          <w:tab w:leader="none" w:pos="7534" w:val="center"/>
          <w:tab w:leader="none" w:pos="7706" w:val="center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200" w:right="0" w:firstLine="580"/>
      </w:pPr>
      <w:r>
        <w:rPr>
          <w:rStyle w:val="CharStyle31"/>
        </w:rPr>
        <w:t xml:space="preserve">I </w:t>
      </w:r>
      <w:r>
        <w:rPr>
          <w:rStyle w:val="CharStyle17"/>
          <w:lang w:val="ru-RU" w:eastAsia="ru-RU" w:bidi="ru-RU"/>
        </w:rPr>
        <w:t>\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</w:t>
      </w:r>
      <w:r>
        <w:rPr>
          <w:rStyle w:val="CharStyle32"/>
        </w:rPr>
        <w:t>П</w:t>
      </w:r>
      <w:r>
        <w:rPr>
          <w:rStyle w:val="CharStyle32"/>
          <w:vertAlign w:val="superscript"/>
        </w:rPr>
        <w:t>м</w:t>
      </w:r>
      <w:r>
        <w:rPr>
          <w:rStyle w:val="CharStyle32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/ ‘'сю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>?.: и: '</w:t>
        <w:tab/>
        <w:t>'\сги'|</w:t>
        <w:tab/>
        <w:t>важного</w:t>
        <w:tab/>
        <w:t>и</w:t>
        <w:tab/>
        <w:t>да</w:t>
        <w:tab/>
        <w:t>•</w:t>
        <w:tab/>
        <w:t>р?к:о'.</w:t>
        <w:tab/>
      </w:r>
      <w:r>
        <w:rPr>
          <w:rStyle w:val="CharStyle33"/>
        </w:rPr>
        <w:t>.v</w:t>
      </w:r>
      <w:r>
        <w:rPr>
          <w:rStyle w:val="CharStyle33"/>
          <w:vertAlign w:val="subscript"/>
        </w:rPr>
        <w:t>4</w:t>
      </w:r>
      <w:r>
        <w:rPr>
          <w:rStyle w:val="CharStyle33"/>
        </w:rPr>
        <w:t xml:space="preserve">. </w:t>
      </w:r>
      <w:r>
        <w:rPr>
          <w:lang w:val="ru-RU" w:eastAsia="ru-RU" w:bidi="ru-RU"/>
          <w:w w:val="100"/>
          <w:spacing w:val="0"/>
          <w:color w:val="000000"/>
          <w:position w:val="0"/>
        </w:rPr>
        <w:t>, &gt;</w:t>
        <w:tab/>
      </w:r>
      <w:r>
        <w:rPr>
          <w:rStyle w:val="CharStyle33"/>
          <w:lang w:val="ru-RU" w:eastAsia="ru-RU" w:bidi="ru-RU"/>
        </w:rPr>
        <w:t>.</w:t>
        <w:tab/>
      </w:r>
      <w:r>
        <w:rPr>
          <w:lang w:val="ru-RU" w:eastAsia="ru-RU" w:bidi="ru-RU"/>
          <w:w w:val="100"/>
          <w:spacing w:val="0"/>
          <w:color w:val="000000"/>
          <w:position w:val="0"/>
        </w:rPr>
        <w:t>■</w:t>
        <w:tab/>
      </w:r>
      <w:r>
        <w:rPr>
          <w:rStyle w:val="CharStyle17"/>
          <w:lang w:val="ru-RU" w:eastAsia="ru-RU" w:bidi="ru-RU"/>
        </w:rPr>
        <w:t>л: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должен установить требования, в частности, к качеству, техническим характеристикам (потребительским свойствам), размерам, упаковке товара с учетом специфики его деятельности и в целях обеспечения эффективного использования бюджетных средств, при соблюдении установленных законодательством Российской Федерации положений, направленных на обеспечение при проведении торгов конкурентной среды».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 выше, заказчик вправе включить в аукционную документацию такие характеристики и требования к товару, которые отвечают его потребностям и необходимы для выполнения соответствующих функций. При этом заказчик вправе в необходимой степени детализировать предмет закупок.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Также следует учесть, что согласно пункту 1 статьи 1 Закона о контрактной системе целями законодательства о закупках является повышение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Тем самым основной задачей законодательства, устанавливающего порядок закупок, является не столько обеспечение максимально широкого круга участников закупок, сколько выявление в результате закупок лица, исполнение контракта которым в наибольшей степени будет отвечать целям эффективного использования источников финансирования. предотвращения злоупотреблений в сфере закупок.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названного положения пункта 1 статьи 1 Закона в закупках могут участвовать лишь те лица, которые имеют признаки, отвечающие названным целям, поэтому включение в документацию Заказчика условий, которые в итоге приводят к исключению из круга участников закупки лиц, не обладающих такими признаками, не может рассматриваться как ограничение доступа к участию в закупках.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позиции изложенной ФАС Северо-Кавказского округа в Постановлении по делу № А53-27684/2011 соответствие предъявляемым заказчиком характеристикам только продукции одного производителя не лишает участникам размещения заказа возможности участвовать в аукционе, то есть не ограничивает число потенциальных участников аукциона, поскольку предметом аукциона является поставка, а не изготовление товаров.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Доказательств невозможности поставки описанного аукционной документацией товара Заявителем не представлено.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Кроме того, согласно протоколу рассмотрения первых частей заявок от 20.10.2017г. на участие в аукционе подано три заявки.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доводы Заявителя об ограничении круга участников закупки не соответствует действительности, нарушения Закона о контрактной системе в действиях Заказчика отсутствует.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91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Постановления Правительства РФ от 26.08.2013г. № 728, в соответствии с ч. 15 ст. 99, ч. 8 ст. 106 Закона о контрактной системе, Комиссия Ростовского УФАС России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left"/>
        <w:spacing w:before="0" w:after="313" w:line="220" w:lineRule="exact"/>
        <w:ind w:left="52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РЕШИЛА: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63" w:line="220" w:lineRule="exact"/>
        <w:ind w:left="40" w:right="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«Торговый дом «Эталон» необоснованной.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291" w:line="283" w:lineRule="exact"/>
        <w:ind w:left="40" w:right="40" w:firstLine="58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течение трех месяцев в Арбитражный суд Ростовской области со дня его принятия.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608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Председатель комиссии</w:t>
      </w:r>
    </w:p>
    <w:p>
      <w:pPr>
        <w:pStyle w:val="Style14"/>
        <w:widowControl w:val="0"/>
        <w:keepNext w:val="0"/>
        <w:keepLines w:val="0"/>
        <w:shd w:val="clear" w:color="auto" w:fill="auto"/>
        <w:bidi w:val="0"/>
        <w:jc w:val="both"/>
        <w:spacing w:before="0" w:after="0" w:line="220" w:lineRule="exact"/>
        <w:ind w:left="4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</w:t>
      </w:r>
    </w:p>
    <w:sectPr>
      <w:type w:val="continuous"/>
      <w:pgSz w:w="11906" w:h="16838"/>
      <w:pgMar w:top="400" w:left="452" w:right="427" w:bottom="4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2"/>
        <w:szCs w:val="22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4) Exact"/>
    <w:basedOn w:val="DefaultParagraphFont"/>
    <w:rPr>
      <w:b w:val="0"/>
      <w:bCs w:val="0"/>
      <w:i w:val="0"/>
      <w:iCs w:val="0"/>
      <w:u w:val="none"/>
      <w:strike w:val="0"/>
      <w:smallCaps w:val="0"/>
      <w:sz w:val="16"/>
      <w:szCs w:val="16"/>
      <w:rFonts w:ascii="Times New Roman" w:eastAsia="Times New Roman" w:hAnsi="Times New Roman" w:cs="Times New Roman"/>
      <w:spacing w:val="5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character" w:customStyle="1" w:styleId="CharStyle8">
    <w:name w:val="Основной текст (3)_"/>
    <w:basedOn w:val="DefaultParagraphFont"/>
    <w:link w:val="Style7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9">
    <w:name w:val="Основной текст (4)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character" w:customStyle="1" w:styleId="CharStyle11">
    <w:name w:val="Основной текст (5)_"/>
    <w:basedOn w:val="DefaultParagraphFont"/>
    <w:link w:val="Style10"/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character" w:customStyle="1" w:styleId="CharStyle12">
    <w:name w:val="Основной текст (5)"/>
    <w:basedOn w:val="CharStyle11"/>
    <w:rPr>
      <w:u w:val="single"/>
      <w:w w:val="100"/>
      <w:color w:val="000000"/>
      <w:position w:val="0"/>
    </w:rPr>
  </w:style>
  <w:style w:type="character" w:customStyle="1" w:styleId="CharStyle13">
    <w:name w:val="Основной текст (5) + Не курсив,Интервал 0 pt"/>
    <w:basedOn w:val="CharStyle11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5">
    <w:name w:val="Основной текст_"/>
    <w:basedOn w:val="DefaultParagraphFont"/>
    <w:link w:val="Style14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16">
    <w:name w:val="Основной текст + 11,5 pt,Полужирный"/>
    <w:basedOn w:val="CharStyle15"/>
    <w:rPr>
      <w:lang w:val="en-US" w:eastAsia="en-US" w:bidi="en-US"/>
      <w:b/>
      <w:bCs/>
      <w:sz w:val="23"/>
      <w:szCs w:val="23"/>
      <w:w w:val="100"/>
      <w:spacing w:val="0"/>
      <w:color w:val="000000"/>
      <w:position w:val="0"/>
    </w:rPr>
  </w:style>
  <w:style w:type="character" w:customStyle="1" w:styleId="CharStyle17">
    <w:name w:val="Основной текст + Курсив,Интервал 0 pt"/>
    <w:basedOn w:val="CharStyle15"/>
    <w:rPr>
      <w:lang w:val="en-US" w:eastAsia="en-US" w:bidi="en-US"/>
      <w:i/>
      <w:iCs/>
      <w:w w:val="100"/>
      <w:spacing w:val="-10"/>
      <w:color w:val="000000"/>
      <w:position w:val="0"/>
    </w:rPr>
  </w:style>
  <w:style w:type="character" w:customStyle="1" w:styleId="CharStyle19">
    <w:name w:val="Заголовок №1_"/>
    <w:basedOn w:val="DefaultParagraphFont"/>
    <w:link w:val="Style18"/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character" w:customStyle="1" w:styleId="CharStyle21">
    <w:name w:val="Подпись к таблице_"/>
    <w:basedOn w:val="DefaultParagraphFont"/>
    <w:link w:val="Style20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2">
    <w:name w:val="Основной текст + Tahoma,11,5 pt,Полужирный,Интервал 0 pt"/>
    <w:basedOn w:val="CharStyle15"/>
    <w:rPr>
      <w:lang w:val="ru-RU" w:eastAsia="ru-RU" w:bidi="ru-RU"/>
      <w:b/>
      <w:bCs/>
      <w:sz w:val="23"/>
      <w:szCs w:val="23"/>
      <w:rFonts w:ascii="Tahoma" w:eastAsia="Tahoma" w:hAnsi="Tahoma" w:cs="Tahoma"/>
      <w:w w:val="100"/>
      <w:spacing w:val="-10"/>
      <w:color w:val="000000"/>
      <w:position w:val="0"/>
    </w:rPr>
  </w:style>
  <w:style w:type="character" w:customStyle="1" w:styleId="CharStyle23">
    <w:name w:val="Основной текст + 8,5 pt"/>
    <w:basedOn w:val="CharStyle15"/>
    <w:rPr>
      <w:lang w:val="ru-RU" w:eastAsia="ru-RU" w:bidi="ru-RU"/>
      <w:sz w:val="17"/>
      <w:szCs w:val="17"/>
      <w:w w:val="100"/>
      <w:spacing w:val="0"/>
      <w:color w:val="000000"/>
      <w:position w:val="0"/>
    </w:rPr>
  </w:style>
  <w:style w:type="character" w:customStyle="1" w:styleId="CharStyle24">
    <w:name w:val="Основной текст"/>
    <w:basedOn w:val="CharStyle15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26">
    <w:name w:val="Основной текст (6)_"/>
    <w:basedOn w:val="DefaultParagraphFont"/>
    <w:link w:val="Style25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character" w:customStyle="1" w:styleId="CharStyle28">
    <w:name w:val="Основной текст (7)_"/>
    <w:basedOn w:val="DefaultParagraphFont"/>
    <w:link w:val="Style27"/>
    <w:rPr>
      <w:b w:val="0"/>
      <w:bCs w:val="0"/>
      <w:i w:val="0"/>
      <w:iCs w:val="0"/>
      <w:u w:val="none"/>
      <w:strike w:val="0"/>
      <w:smallCaps w:val="0"/>
      <w:sz w:val="13"/>
      <w:szCs w:val="13"/>
      <w:rFonts w:ascii="Franklin Gothic Medium" w:eastAsia="Franklin Gothic Medium" w:hAnsi="Franklin Gothic Medium" w:cs="Franklin Gothic Medium"/>
      <w:spacing w:val="20"/>
    </w:rPr>
  </w:style>
  <w:style w:type="character" w:customStyle="1" w:styleId="CharStyle29">
    <w:name w:val="Основной текст (7) + 6 pt,Курсив,Интервал 2 pt"/>
    <w:basedOn w:val="CharStyle28"/>
    <w:rPr>
      <w:lang w:val="ru-RU" w:eastAsia="ru-RU" w:bidi="ru-RU"/>
      <w:i/>
      <w:iCs/>
      <w:sz w:val="12"/>
      <w:szCs w:val="12"/>
      <w:w w:val="100"/>
      <w:spacing w:val="40"/>
      <w:color w:val="000000"/>
      <w:position w:val="0"/>
    </w:rPr>
  </w:style>
  <w:style w:type="character" w:customStyle="1" w:styleId="CharStyle30">
    <w:name w:val="Основной текст (7) + Times New Roman,Интервал 0 pt"/>
    <w:basedOn w:val="CharStyle28"/>
    <w:rPr>
      <w:lang w:val="ru-RU" w:eastAsia="ru-RU" w:bidi="ru-RU"/>
      <w:rFonts w:ascii="Times New Roman" w:eastAsia="Times New Roman" w:hAnsi="Times New Roman" w:cs="Times New Roman"/>
      <w:w w:val="100"/>
      <w:spacing w:val="0"/>
      <w:color w:val="000000"/>
      <w:position w:val="0"/>
    </w:rPr>
  </w:style>
  <w:style w:type="character" w:customStyle="1" w:styleId="CharStyle31">
    <w:name w:val="Основной текст + Franklin Gothic Medium,6,5 pt,Интервал 1 pt"/>
    <w:basedOn w:val="CharStyle15"/>
    <w:rPr>
      <w:lang w:val="ru-RU" w:eastAsia="ru-RU" w:bidi="ru-RU"/>
      <w:sz w:val="13"/>
      <w:szCs w:val="13"/>
      <w:rFonts w:ascii="Franklin Gothic Medium" w:eastAsia="Franklin Gothic Medium" w:hAnsi="Franklin Gothic Medium" w:cs="Franklin Gothic Medium"/>
      <w:w w:val="100"/>
      <w:spacing w:val="20"/>
      <w:color w:val="000000"/>
      <w:position w:val="0"/>
    </w:rPr>
  </w:style>
  <w:style w:type="character" w:customStyle="1" w:styleId="CharStyle32">
    <w:name w:val="Основной текст + Courier New,14 pt,Интервал 0 pt"/>
    <w:basedOn w:val="CharStyle15"/>
    <w:rPr>
      <w:lang w:val="ru-RU" w:eastAsia="ru-RU" w:bidi="ru-RU"/>
      <w:sz w:val="28"/>
      <w:szCs w:val="28"/>
      <w:rFonts w:ascii="Courier New" w:eastAsia="Courier New" w:hAnsi="Courier New" w:cs="Courier New"/>
      <w:w w:val="100"/>
      <w:spacing w:val="10"/>
      <w:color w:val="000000"/>
      <w:position w:val="0"/>
    </w:rPr>
  </w:style>
  <w:style w:type="character" w:customStyle="1" w:styleId="CharStyle33">
    <w:name w:val="Основной текст + 5 pt,Интервал 0 pt"/>
    <w:basedOn w:val="CharStyle15"/>
    <w:rPr>
      <w:lang w:val="en-US" w:eastAsia="en-US" w:bidi="en-US"/>
      <w:sz w:val="10"/>
      <w:szCs w:val="10"/>
      <w:w w:val="100"/>
      <w:spacing w:val="-10"/>
      <w:color w:val="000000"/>
      <w:position w:val="0"/>
    </w:rPr>
  </w:style>
  <w:style w:type="paragraph" w:customStyle="1" w:styleId="Style3">
    <w:name w:val="Основной текст (4)"/>
    <w:basedOn w:val="Normal"/>
    <w:link w:val="CharStyle9"/>
    <w:pPr>
      <w:widowControl w:val="0"/>
      <w:shd w:val="clear" w:color="auto" w:fill="FFFFFF"/>
      <w:jc w:val="center"/>
      <w:spacing w:before="120" w:after="240" w:line="187" w:lineRule="exact"/>
    </w:pPr>
    <w:rPr>
      <w:b w:val="0"/>
      <w:bCs w:val="0"/>
      <w:i w:val="0"/>
      <w:iCs w:val="0"/>
      <w:u w:val="none"/>
      <w:strike w:val="0"/>
      <w:smallCaps w:val="0"/>
      <w:sz w:val="17"/>
      <w:szCs w:val="17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center"/>
      <w:spacing w:before="360" w:after="120" w:line="223" w:lineRule="exact"/>
    </w:pPr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</w:rPr>
  </w:style>
  <w:style w:type="paragraph" w:customStyle="1" w:styleId="Style7">
    <w:name w:val="Основной текст (3)"/>
    <w:basedOn w:val="Normal"/>
    <w:link w:val="CharStyle8"/>
    <w:pPr>
      <w:widowControl w:val="0"/>
      <w:shd w:val="clear" w:color="auto" w:fill="FFFFFF"/>
      <w:jc w:val="center"/>
      <w:spacing w:before="120" w:after="120" w:line="270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0">
    <w:name w:val="Основной текст (5)"/>
    <w:basedOn w:val="Normal"/>
    <w:link w:val="CharStyle11"/>
    <w:pPr>
      <w:widowControl w:val="0"/>
      <w:shd w:val="clear" w:color="auto" w:fill="FFFFFF"/>
      <w:jc w:val="center"/>
      <w:spacing w:before="240" w:after="360" w:line="0" w:lineRule="exact"/>
    </w:pPr>
    <w:rPr>
      <w:lang w:val="en-US" w:eastAsia="en-US" w:bidi="en-US"/>
      <w:b w:val="0"/>
      <w:bCs w:val="0"/>
      <w:i/>
      <w:iCs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-10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18">
    <w:name w:val="Заголовок №1"/>
    <w:basedOn w:val="Normal"/>
    <w:link w:val="CharStyle19"/>
    <w:pPr>
      <w:widowControl w:val="0"/>
      <w:shd w:val="clear" w:color="auto" w:fill="FFFFFF"/>
      <w:jc w:val="right"/>
      <w:outlineLvl w:val="0"/>
      <w:spacing w:before="240" w:line="0" w:lineRule="exact"/>
    </w:pPr>
    <w:rPr>
      <w:b w:val="0"/>
      <w:bCs w:val="0"/>
      <w:i w:val="0"/>
      <w:iCs w:val="0"/>
      <w:u w:val="none"/>
      <w:strike w:val="0"/>
      <w:smallCaps w:val="0"/>
      <w:sz w:val="36"/>
      <w:szCs w:val="36"/>
      <w:rFonts w:ascii="Times New Roman" w:eastAsia="Times New Roman" w:hAnsi="Times New Roman" w:cs="Times New Roman"/>
    </w:rPr>
  </w:style>
  <w:style w:type="paragraph" w:customStyle="1" w:styleId="Style20">
    <w:name w:val="Подпись к таблице"/>
    <w:basedOn w:val="Normal"/>
    <w:link w:val="CharStyle21"/>
    <w:pPr>
      <w:widowControl w:val="0"/>
      <w:shd w:val="clear" w:color="auto" w:fill="FFFFFF"/>
      <w:jc w:val="both"/>
      <w:spacing w:line="278" w:lineRule="exact"/>
      <w:ind w:firstLine="560"/>
    </w:pPr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5">
    <w:name w:val="Основной текст (6)"/>
    <w:basedOn w:val="Normal"/>
    <w:link w:val="CharStyle26"/>
    <w:pPr>
      <w:widowControl w:val="0"/>
      <w:shd w:val="clear" w:color="auto" w:fill="FFFFFF"/>
      <w:jc w:val="right"/>
      <w:spacing w:line="283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</w:rPr>
  </w:style>
  <w:style w:type="paragraph" w:customStyle="1" w:styleId="Style27">
    <w:name w:val="Основной текст (7)"/>
    <w:basedOn w:val="Normal"/>
    <w:link w:val="CharStyle28"/>
    <w:pPr>
      <w:widowControl w:val="0"/>
      <w:shd w:val="clear" w:color="auto" w:fill="FFFFFF"/>
      <w:jc w:val="both"/>
      <w:spacing w:line="283" w:lineRule="exact"/>
    </w:pPr>
    <w:rPr>
      <w:b w:val="0"/>
      <w:bCs w:val="0"/>
      <w:i w:val="0"/>
      <w:iCs w:val="0"/>
      <w:u w:val="none"/>
      <w:strike w:val="0"/>
      <w:smallCaps w:val="0"/>
      <w:sz w:val="13"/>
      <w:szCs w:val="13"/>
      <w:rFonts w:ascii="Franklin Gothic Medium" w:eastAsia="Franklin Gothic Medium" w:hAnsi="Franklin Gothic Medium" w:cs="Franklin Gothic Medium"/>
      <w:spacing w:val="2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