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sectPr>
          <w:footnotePr>
            <w:pos w:val="pageBottom"/>
            <w:numFmt w:val="decimal"/>
            <w:numRestart w:val="continuous"/>
          </w:footnotePr>
          <w:type w:val="continuous"/>
          <w:pgSz w:w="11906" w:h="16838"/>
          <w:pgMar w:top="894" w:left="2674" w:right="8127" w:bottom="913" w:header="0" w:footer="3" w:gutter="0"/>
          <w:rtlGutter w:val="0"/>
          <w:cols w:space="720"/>
          <w:noEndnote/>
          <w:docGrid w:linePitch="360"/>
        </w:sectPr>
      </w:pPr>
    </w:p>
    <w:p>
      <w:pPr>
        <w:pStyle w:val="Style3"/>
        <w:widowControl w:val="0"/>
        <w:keepNext w:val="0"/>
        <w:keepLines w:val="0"/>
        <w:shd w:val="clear" w:color="auto" w:fill="auto"/>
        <w:bidi w:val="0"/>
        <w:spacing w:before="0" w:after="180"/>
        <w:ind w:left="0" w:right="0" w:firstLine="0"/>
      </w:pPr>
      <w:r>
        <w:rPr>
          <w:lang w:val="ru-RU" w:eastAsia="ru-RU" w:bidi="ru-RU"/>
          <w:w w:val="100"/>
          <w:spacing w:val="0"/>
          <w:color w:val="000000"/>
          <w:position w:val="0"/>
        </w:rPr>
        <w:t>ФЕДЕРАЛЬНАЯ АНТИМОНОПОЛЬНАЯ СЛУЖБА</w:t>
      </w:r>
    </w:p>
    <w:p>
      <w:pPr>
        <w:pStyle w:val="Style3"/>
        <w:widowControl w:val="0"/>
        <w:keepNext w:val="0"/>
        <w:keepLines w:val="0"/>
        <w:shd w:val="clear" w:color="auto" w:fill="auto"/>
        <w:bidi w:val="0"/>
        <w:spacing w:before="0" w:after="0"/>
        <w:ind w:left="0" w:right="0" w:firstLine="0"/>
      </w:pPr>
      <w:r>
        <w:rPr>
          <w:lang w:val="ru-RU" w:eastAsia="ru-RU" w:bidi="ru-RU"/>
          <w:w w:val="100"/>
          <w:spacing w:val="0"/>
          <w:color w:val="000000"/>
          <w:position w:val="0"/>
        </w:rPr>
        <w:t>УПРАВЛЕНИЕ Федеральной антимонопольной службы по Республике Крым и городу Севастополю</w:t>
      </w:r>
    </w:p>
    <w:p>
      <w:pPr>
        <w:pStyle w:val="Style5"/>
        <w:widowControl w:val="0"/>
        <w:keepNext w:val="0"/>
        <w:keepLines w:val="0"/>
        <w:shd w:val="clear" w:color="auto" w:fill="auto"/>
        <w:bidi w:val="0"/>
        <w:spacing w:before="0" w:after="0"/>
        <w:ind w:left="0" w:right="0" w:firstLine="0"/>
      </w:pPr>
      <w:r>
        <w:rPr>
          <w:lang w:val="ru-RU" w:eastAsia="ru-RU" w:bidi="ru-RU"/>
          <w:w w:val="100"/>
          <w:spacing w:val="0"/>
          <w:color w:val="000000"/>
          <w:position w:val="0"/>
        </w:rPr>
        <w:t xml:space="preserve">Адрес: ул. Александра Невского, д. 1, г. Симферополь, Республика Крым, 295000 тел. (3652) 544-638, факс (3652) 252-431 </w:t>
      </w:r>
      <w:r>
        <w:rPr>
          <w:lang w:val="en-US" w:eastAsia="en-US" w:bidi="en-US"/>
          <w:w w:val="100"/>
          <w:spacing w:val="0"/>
          <w:color w:val="000000"/>
          <w:position w:val="0"/>
        </w:rPr>
        <w:t xml:space="preserve">e-mail: </w:t>
      </w:r>
      <w:r>
        <w:fldChar w:fldCharType="begin"/>
      </w:r>
      <w:r>
        <w:rPr>
          <w:color w:val="000000"/>
        </w:rPr>
        <w:instrText> HYPERLINK "mailto:to82@fas.gov.ru" </w:instrText>
      </w:r>
      <w:r>
        <w:fldChar w:fldCharType="separate"/>
      </w:r>
      <w:r>
        <w:rPr>
          <w:rStyle w:val="Hyperlink"/>
          <w:lang w:val="en-US" w:eastAsia="en-US" w:bidi="en-US"/>
          <w:w w:val="100"/>
          <w:spacing w:val="0"/>
          <w:position w:val="0"/>
        </w:rPr>
        <w:t>to82@fas.gov.ru</w:t>
      </w:r>
      <w:r>
        <w:fldChar w:fldCharType="end"/>
      </w:r>
    </w:p>
    <w:p>
      <w:pPr>
        <w:pStyle w:val="Style7"/>
        <w:widowControl w:val="0"/>
        <w:keepNext w:val="0"/>
        <w:keepLines w:val="0"/>
        <w:shd w:val="clear" w:color="auto" w:fill="auto"/>
        <w:bidi w:val="0"/>
        <w:jc w:val="left"/>
        <w:spacing w:before="0" w:after="0"/>
        <w:ind w:left="20" w:right="2120" w:firstLine="0"/>
      </w:pPr>
      <w:r>
        <w:rPr>
          <w:lang w:val="ru-RU" w:eastAsia="ru-RU" w:bidi="ru-RU"/>
          <w:w w:val="100"/>
          <w:spacing w:val="0"/>
          <w:color w:val="000000"/>
          <w:position w:val="0"/>
        </w:rPr>
        <w:t>30.10.2017 №06/12349 На № 67 от 18.10.2017</w:t>
      </w:r>
    </w:p>
    <w:p>
      <w:pPr>
        <w:pStyle w:val="Style7"/>
        <w:numPr>
          <w:ilvl w:val="0"/>
          <w:numId w:val="1"/>
        </w:numPr>
        <w:widowControl w:val="0"/>
        <w:keepNext w:val="0"/>
        <w:keepLines w:val="0"/>
        <w:shd w:val="clear" w:color="auto" w:fill="auto"/>
        <w:bidi w:val="0"/>
        <w:jc w:val="left"/>
        <w:spacing w:before="0" w:after="0" w:line="322" w:lineRule="exact"/>
        <w:ind w:left="20" w:right="0" w:firstLine="0"/>
      </w:pPr>
      <w:r>
        <w:rPr>
          <w:lang w:val="ru-RU" w:eastAsia="ru-RU" w:bidi="ru-RU"/>
          <w:w w:val="100"/>
          <w:spacing w:val="0"/>
          <w:color w:val="000000"/>
          <w:position w:val="0"/>
        </w:rPr>
        <w:t xml:space="preserve"> Заказчик:</w:t>
      </w:r>
    </w:p>
    <w:p>
      <w:pPr>
        <w:pStyle w:val="Style7"/>
        <w:widowControl w:val="0"/>
        <w:keepNext w:val="0"/>
        <w:keepLines w:val="0"/>
        <w:shd w:val="clear" w:color="auto" w:fill="auto"/>
        <w:bidi w:val="0"/>
        <w:jc w:val="left"/>
        <w:spacing w:before="0" w:after="0" w:line="322" w:lineRule="exact"/>
        <w:ind w:left="20" w:right="40" w:firstLine="0"/>
      </w:pPr>
      <w:r>
        <w:rPr>
          <w:lang w:val="ru-RU" w:eastAsia="ru-RU" w:bidi="ru-RU"/>
          <w:w w:val="100"/>
          <w:spacing w:val="0"/>
          <w:color w:val="000000"/>
          <w:position w:val="0"/>
        </w:rPr>
        <w:t>Федеральное государственное бюджетное учреждение «Военный санаторий «Крым» Министерства обороны Российской Федерации</w:t>
      </w:r>
    </w:p>
    <w:p>
      <w:pPr>
        <w:pStyle w:val="Style7"/>
        <w:widowControl w:val="0"/>
        <w:keepNext w:val="0"/>
        <w:keepLines w:val="0"/>
        <w:shd w:val="clear" w:color="auto" w:fill="auto"/>
        <w:bidi w:val="0"/>
        <w:jc w:val="left"/>
        <w:spacing w:before="0" w:after="300" w:line="322" w:lineRule="exact"/>
        <w:ind w:left="20" w:right="40" w:firstLine="0"/>
      </w:pPr>
      <w:r>
        <w:rPr>
          <w:lang w:val="ru-RU" w:eastAsia="ru-RU" w:bidi="ru-RU"/>
          <w:w w:val="100"/>
          <w:spacing w:val="0"/>
          <w:color w:val="000000"/>
          <w:position w:val="0"/>
        </w:rPr>
        <w:t>298542, Республика Крым, г. Алушта, пгт. Партенит, ул. Санаторная, д. 1</w:t>
      </w:r>
    </w:p>
    <w:p>
      <w:pPr>
        <w:pStyle w:val="Style7"/>
        <w:numPr>
          <w:ilvl w:val="0"/>
          <w:numId w:val="1"/>
        </w:numPr>
        <w:widowControl w:val="0"/>
        <w:keepNext w:val="0"/>
        <w:keepLines w:val="0"/>
        <w:shd w:val="clear" w:color="auto" w:fill="auto"/>
        <w:bidi w:val="0"/>
        <w:jc w:val="left"/>
        <w:spacing w:before="0" w:after="0" w:line="322" w:lineRule="exact"/>
        <w:ind w:left="20" w:right="0" w:firstLine="0"/>
      </w:pPr>
      <w:r>
        <w:rPr>
          <w:lang w:val="ru-RU" w:eastAsia="ru-RU" w:bidi="ru-RU"/>
          <w:w w:val="100"/>
          <w:spacing w:val="0"/>
          <w:color w:val="000000"/>
          <w:position w:val="0"/>
        </w:rPr>
        <w:t xml:space="preserve"> Заявитель:</w:t>
      </w:r>
    </w:p>
    <w:p>
      <w:pPr>
        <w:pStyle w:val="Style7"/>
        <w:widowControl w:val="0"/>
        <w:keepNext w:val="0"/>
        <w:keepLines w:val="0"/>
        <w:shd w:val="clear" w:color="auto" w:fill="auto"/>
        <w:bidi w:val="0"/>
        <w:jc w:val="left"/>
        <w:spacing w:before="0" w:after="0" w:line="322" w:lineRule="exact"/>
        <w:ind w:left="20" w:right="40" w:firstLine="0"/>
      </w:pPr>
      <w:r>
        <w:rPr>
          <w:lang w:val="ru-RU" w:eastAsia="ru-RU" w:bidi="ru-RU"/>
          <w:w w:val="100"/>
          <w:spacing w:val="0"/>
          <w:color w:val="000000"/>
          <w:position w:val="0"/>
        </w:rPr>
        <w:t>Общество с ограниченной ответственностью «КВАНТ»</w:t>
      </w:r>
    </w:p>
    <w:p>
      <w:pPr>
        <w:pStyle w:val="Style7"/>
        <w:widowControl w:val="0"/>
        <w:keepNext w:val="0"/>
        <w:keepLines w:val="0"/>
        <w:shd w:val="clear" w:color="auto" w:fill="auto"/>
        <w:bidi w:val="0"/>
        <w:jc w:val="left"/>
        <w:spacing w:before="0" w:after="0" w:line="322" w:lineRule="exact"/>
        <w:ind w:left="20" w:right="40" w:firstLine="0"/>
      </w:pPr>
      <w:r>
        <w:rPr>
          <w:lang w:val="ru-RU" w:eastAsia="ru-RU" w:bidi="ru-RU"/>
          <w:w w:val="100"/>
          <w:spacing w:val="0"/>
          <w:color w:val="000000"/>
          <w:position w:val="0"/>
        </w:rPr>
        <w:t>680007, Хабаровский край, г. Хабаровск,</w:t>
      </w:r>
    </w:p>
    <w:p>
      <w:pPr>
        <w:pStyle w:val="Style7"/>
        <w:widowControl w:val="0"/>
        <w:keepNext w:val="0"/>
        <w:keepLines w:val="0"/>
        <w:shd w:val="clear" w:color="auto" w:fill="auto"/>
        <w:bidi w:val="0"/>
        <w:jc w:val="left"/>
        <w:spacing w:before="0" w:after="304" w:line="322" w:lineRule="exact"/>
        <w:ind w:left="20" w:right="0" w:firstLine="0"/>
      </w:pPr>
      <w:r>
        <w:rPr>
          <w:lang w:val="ru-RU" w:eastAsia="ru-RU" w:bidi="ru-RU"/>
          <w:w w:val="100"/>
          <w:spacing w:val="0"/>
          <w:color w:val="000000"/>
          <w:position w:val="0"/>
        </w:rPr>
        <w:t>ул. Волочаевская, д. 8, пом. 3, оф. 4</w:t>
      </w:r>
    </w:p>
    <w:p>
      <w:pPr>
        <w:pStyle w:val="Style7"/>
        <w:numPr>
          <w:ilvl w:val="0"/>
          <w:numId w:val="1"/>
        </w:numPr>
        <w:widowControl w:val="0"/>
        <w:keepNext w:val="0"/>
        <w:keepLines w:val="0"/>
        <w:shd w:val="clear" w:color="auto" w:fill="auto"/>
        <w:bidi w:val="0"/>
        <w:jc w:val="left"/>
        <w:spacing w:before="0" w:after="0" w:line="317" w:lineRule="exact"/>
        <w:ind w:left="20" w:right="0" w:firstLine="0"/>
      </w:pPr>
      <w:r>
        <w:rPr>
          <w:lang w:val="ru-RU" w:eastAsia="ru-RU" w:bidi="ru-RU"/>
          <w:w w:val="100"/>
          <w:spacing w:val="0"/>
          <w:color w:val="000000"/>
          <w:position w:val="0"/>
        </w:rPr>
        <w:t xml:space="preserve"> Оператор электронной площадки:</w:t>
      </w:r>
    </w:p>
    <w:p>
      <w:pPr>
        <w:pStyle w:val="Style7"/>
        <w:widowControl w:val="0"/>
        <w:keepNext w:val="0"/>
        <w:keepLines w:val="0"/>
        <w:shd w:val="clear" w:color="auto" w:fill="auto"/>
        <w:bidi w:val="0"/>
        <w:jc w:val="left"/>
        <w:spacing w:before="0" w:after="0" w:line="317" w:lineRule="exact"/>
        <w:ind w:left="20" w:right="40" w:firstLine="0"/>
      </w:pPr>
      <w:r>
        <w:rPr>
          <w:lang w:val="ru-RU" w:eastAsia="ru-RU" w:bidi="ru-RU"/>
          <w:w w:val="100"/>
          <w:spacing w:val="0"/>
          <w:color w:val="000000"/>
          <w:position w:val="0"/>
        </w:rPr>
        <w:t>АО «Электронные торговые системы» 123317, г. Москва,</w:t>
      </w:r>
    </w:p>
    <w:p>
      <w:pPr>
        <w:pStyle w:val="Style7"/>
        <w:widowControl w:val="0"/>
        <w:keepNext w:val="0"/>
        <w:keepLines w:val="0"/>
        <w:shd w:val="clear" w:color="auto" w:fill="auto"/>
        <w:bidi w:val="0"/>
        <w:jc w:val="left"/>
        <w:spacing w:before="0" w:after="0" w:line="317" w:lineRule="exact"/>
        <w:ind w:left="20" w:right="0" w:firstLine="0"/>
        <w:sectPr>
          <w:type w:val="continuous"/>
          <w:pgSz w:w="11906" w:h="16838"/>
          <w:pgMar w:top="894" w:left="854" w:right="1056" w:bottom="913" w:header="0" w:footer="3" w:gutter="0"/>
          <w:rtlGutter w:val="0"/>
          <w:cols w:num="2" w:space="102"/>
          <w:noEndnote/>
          <w:docGrid w:linePitch="360"/>
        </w:sectPr>
      </w:pPr>
      <w:r>
        <w:rPr>
          <w:lang w:val="ru-RU" w:eastAsia="ru-RU" w:bidi="ru-RU"/>
          <w:w w:val="100"/>
          <w:spacing w:val="0"/>
          <w:color w:val="000000"/>
          <w:position w:val="0"/>
        </w:rPr>
        <w:t>ул. Тестовская, д. 10, этаж 25</w:t>
      </w:r>
    </w:p>
    <w:p>
      <w:pPr>
        <w:widowControl w:val="0"/>
        <w:spacing w:before="6" w:after="6"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9"/>
        <w:widowControl w:val="0"/>
        <w:keepNext w:val="0"/>
        <w:keepLines w:val="0"/>
        <w:shd w:val="clear" w:color="auto" w:fill="auto"/>
        <w:bidi w:val="0"/>
        <w:spacing w:before="0" w:after="0"/>
        <w:ind w:left="0" w:right="0" w:firstLine="0"/>
        <w:sectPr>
          <w:type w:val="continuous"/>
          <w:pgSz w:w="11906" w:h="16838"/>
          <w:pgMar w:top="894" w:left="2520" w:right="2184" w:bottom="913" w:header="0" w:footer="3" w:gutter="0"/>
          <w:rtlGutter w:val="0"/>
          <w:cols w:space="720"/>
          <w:noEndnote/>
          <w:docGrid w:linePitch="360"/>
        </w:sectPr>
      </w:pPr>
      <w:r>
        <w:rPr>
          <w:lang w:val="ru-RU" w:eastAsia="ru-RU" w:bidi="ru-RU"/>
          <w:w w:val="100"/>
          <w:spacing w:val="0"/>
          <w:color w:val="000000"/>
          <w:position w:val="0"/>
        </w:rPr>
        <w:t>Решение по делу №06/4056-17 о нарушении законодательства Российской Федерации о контрактной системе в сфере закупок</w:t>
      </w:r>
    </w:p>
    <w:p>
      <w:pPr>
        <w:widowControl w:val="0"/>
        <w:spacing w:before="23" w:after="23"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7"/>
        <w:framePr w:h="240" w:wrap="around" w:vAnchor="text" w:hAnchor="margin" w:x="172" w:y="6"/>
        <w:widowControl w:val="0"/>
        <w:keepNext w:val="0"/>
        <w:keepLines w:val="0"/>
        <w:shd w:val="clear" w:color="auto" w:fill="auto"/>
        <w:bidi w:val="0"/>
        <w:jc w:val="left"/>
        <w:spacing w:before="0" w:after="0" w:line="240" w:lineRule="exact"/>
        <w:ind w:left="100" w:right="0" w:firstLine="0"/>
      </w:pPr>
      <w:r>
        <w:rPr>
          <w:rStyle w:val="CharStyle11"/>
          <w:spacing w:val="0"/>
        </w:rPr>
        <w:t>26.10.2017</w:t>
      </w:r>
    </w:p>
    <w:p>
      <w:pPr>
        <w:pStyle w:val="Style7"/>
        <w:widowControl w:val="0"/>
        <w:keepNext w:val="0"/>
        <w:keepLines w:val="0"/>
        <w:shd w:val="clear" w:color="auto" w:fill="auto"/>
        <w:bidi w:val="0"/>
        <w:jc w:val="right"/>
        <w:spacing w:before="0" w:after="188" w:line="260" w:lineRule="exact"/>
        <w:ind w:left="0" w:right="20" w:firstLine="0"/>
      </w:pPr>
      <w:r>
        <w:rPr>
          <w:lang w:val="ru-RU" w:eastAsia="ru-RU" w:bidi="ru-RU"/>
          <w:w w:val="100"/>
          <w:spacing w:val="0"/>
          <w:color w:val="000000"/>
          <w:position w:val="0"/>
        </w:rPr>
        <w:t>г. Симферополь</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Республике Крым и городу Севастополю (Крымское УФАС России) (далее - Комиссия) в составе:</w:t>
      </w:r>
    </w:p>
    <w:p>
      <w:pPr>
        <w:pStyle w:val="Style7"/>
        <w:widowControl w:val="0"/>
        <w:keepNext w:val="0"/>
        <w:keepLines w:val="0"/>
        <w:shd w:val="clear" w:color="auto" w:fill="auto"/>
        <w:bidi w:val="0"/>
        <w:jc w:val="left"/>
        <w:spacing w:before="0" w:after="0" w:line="322" w:lineRule="exact"/>
        <w:ind w:left="20" w:right="20" w:firstLine="860"/>
      </w:pPr>
      <w:r>
        <w:rPr>
          <w:lang w:val="ru-RU" w:eastAsia="ru-RU" w:bidi="ru-RU"/>
          <w:w w:val="100"/>
          <w:spacing w:val="0"/>
          <w:color w:val="000000"/>
          <w:position w:val="0"/>
        </w:rPr>
        <w:t>заместителя председателя Комиссии - начальника отдела контроля закупок Крымского УФАС России Н. П. Казаковой; членов Комиссии:</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главного специалиста-эксперта отдела контроля в сфере естественных монополий и на товарных рынках Крымского УФАС России О. А. Шалимовой,</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специалиста-эксперта отдела контроля рекламы и органов власти Крымского УФАС России Н. А. Баданина, —</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при участии представителя интересов Заказчика Д. Е. Шабанова (по доверенности),</w:t>
      </w:r>
      <w:r>
        <w:br w:type="page"/>
      </w:r>
    </w:p>
    <w:p>
      <w:pPr>
        <w:pStyle w:val="Style7"/>
        <w:widowControl w:val="0"/>
        <w:keepNext w:val="0"/>
        <w:keepLines w:val="0"/>
        <w:shd w:val="clear" w:color="auto" w:fill="auto"/>
        <w:bidi w:val="0"/>
        <w:jc w:val="both"/>
        <w:spacing w:before="0" w:after="0" w:line="322" w:lineRule="exact"/>
        <w:ind w:left="20" w:right="0" w:firstLine="860"/>
      </w:pPr>
      <w:r>
        <w:rPr>
          <w:lang w:val="ru-RU" w:eastAsia="ru-RU" w:bidi="ru-RU"/>
          <w:w w:val="100"/>
          <w:spacing w:val="0"/>
          <w:color w:val="000000"/>
          <w:position w:val="0"/>
        </w:rPr>
        <w:t>представители Заявителя на заседание Комиссии не явились, —</w:t>
      </w:r>
    </w:p>
    <w:p>
      <w:pPr>
        <w:pStyle w:val="Style7"/>
        <w:tabs>
          <w:tab w:leader="none" w:pos="10206" w:val="right"/>
        </w:tabs>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рассмотрев жалобу Заявителя от 18.10.2017 № 67 (вх. №4657/09 от 23.10.2017) на действия Аукционной комиссии Заказчика при проведении электронного аукциона «Услуги профессиональной уборки - клининговые услуги для нужд ФГБУ "Военный санаторий "Крым" Минобороны России» (номер извещения 0375100002917000231) (далее — Аукцион), в соответствии со статьей 106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согласно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Федеральной антимонопольной службы от 19.11.2014</w:t>
        <w:tab/>
        <w:t>№727/14,</w:t>
      </w:r>
    </w:p>
    <w:p>
      <w:pPr>
        <w:pStyle w:val="Style7"/>
        <w:widowControl w:val="0"/>
        <w:keepNext w:val="0"/>
        <w:keepLines w:val="0"/>
        <w:shd w:val="clear" w:color="auto" w:fill="auto"/>
        <w:bidi w:val="0"/>
        <w:jc w:val="both"/>
        <w:spacing w:before="0" w:after="109" w:line="322" w:lineRule="exact"/>
        <w:ind w:left="20" w:right="20" w:firstLine="0"/>
      </w:pPr>
      <w:r>
        <w:rPr>
          <w:lang w:val="ru-RU" w:eastAsia="ru-RU" w:bidi="ru-RU"/>
          <w:w w:val="100"/>
          <w:spacing w:val="0"/>
          <w:color w:val="000000"/>
          <w:position w:val="0"/>
        </w:rPr>
        <w:t>зарегистрированного в Министерстве юстиции Российской Федерации 27.02.2015 за №36262 (далее - Административный регламент от 19.11.2014 №727/14),</w:t>
      </w:r>
    </w:p>
    <w:p>
      <w:pPr>
        <w:pStyle w:val="Style7"/>
        <w:widowControl w:val="0"/>
        <w:keepNext w:val="0"/>
        <w:keepLines w:val="0"/>
        <w:shd w:val="clear" w:color="auto" w:fill="auto"/>
        <w:bidi w:val="0"/>
        <w:jc w:val="left"/>
        <w:spacing w:before="0" w:after="188" w:line="260" w:lineRule="exact"/>
        <w:ind w:left="4520" w:right="0" w:firstLine="0"/>
      </w:pPr>
      <w:r>
        <w:rPr>
          <w:lang w:val="ru-RU" w:eastAsia="ru-RU" w:bidi="ru-RU"/>
          <w:w w:val="100"/>
          <w:spacing w:val="0"/>
          <w:color w:val="000000"/>
          <w:position w:val="0"/>
        </w:rPr>
        <w:t>УСТАНОВИЛА:</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В Крымское УФАС России поступила жалоба Заявителя на действия Аукционной комиссии Заказчика при проведении Аукциона.</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По мнению Заявителя, его права и законные интересы нарушены действиями Аукционной комиссии Заказчика, необоснованно отказавшей Заявителю в допуске к участию в Аукционе по итогам рассмотрения первых частей заявок участников Аукциона.</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Крымским УФАС России принято уведомление о поступлении жалобы и приостановлении торгов от 23.10.2017 № 06/12018, направленное Заявителю, Заказчику, Оператору электронной площадки и размещенное на официальном сайте Единой информационной системе в сфере закупок (далее - официальный сайт, единая информационная система, ЕИС).</w:t>
      </w:r>
    </w:p>
    <w:p>
      <w:pPr>
        <w:pStyle w:val="Style7"/>
        <w:widowControl w:val="0"/>
        <w:keepNext w:val="0"/>
        <w:keepLines w:val="0"/>
        <w:shd w:val="clear" w:color="auto" w:fill="auto"/>
        <w:bidi w:val="0"/>
        <w:jc w:val="both"/>
        <w:spacing w:before="0" w:after="0" w:line="322" w:lineRule="exact"/>
        <w:ind w:left="20" w:right="0" w:firstLine="860"/>
      </w:pPr>
      <w:r>
        <w:rPr>
          <w:lang w:val="ru-RU" w:eastAsia="ru-RU" w:bidi="ru-RU"/>
          <w:w w:val="100"/>
          <w:spacing w:val="0"/>
          <w:color w:val="000000"/>
          <w:position w:val="0"/>
        </w:rPr>
        <w:t>В результате рассмотрения жалобы Комиссия установила следующее.</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В соответствии с извещением об осуществлении закупки, документацией о закупке, протоколами, составленными при определении поставщика (подрядчика, исполнителя):</w:t>
      </w:r>
    </w:p>
    <w:p>
      <w:pPr>
        <w:pStyle w:val="Style7"/>
        <w:numPr>
          <w:ilvl w:val="0"/>
          <w:numId w:val="3"/>
        </w:numPr>
        <w:widowControl w:val="0"/>
        <w:keepNext w:val="0"/>
        <w:keepLines w:val="0"/>
        <w:shd w:val="clear" w:color="auto" w:fill="auto"/>
        <w:bidi w:val="0"/>
        <w:jc w:val="both"/>
        <w:spacing w:before="0" w:after="0" w:line="322" w:lineRule="exact"/>
        <w:ind w:left="20" w:right="0" w:firstLine="860"/>
      </w:pPr>
      <w:r>
        <w:rPr>
          <w:lang w:val="ru-RU" w:eastAsia="ru-RU" w:bidi="ru-RU"/>
          <w:w w:val="100"/>
          <w:spacing w:val="0"/>
          <w:color w:val="000000"/>
          <w:position w:val="0"/>
        </w:rPr>
        <w:t xml:space="preserve"> извещение об осуществлении закупки размещено на официальном сайте —</w:t>
      </w:r>
    </w:p>
    <w:p>
      <w:pPr>
        <w:pStyle w:val="Style7"/>
        <w:numPr>
          <w:ilvl w:val="0"/>
          <w:numId w:val="5"/>
        </w:numPr>
        <w:tabs>
          <w:tab w:leader="none" w:pos="1378" w:val="left"/>
        </w:tabs>
        <w:widowControl w:val="0"/>
        <w:keepNext w:val="0"/>
        <w:keepLines w:val="0"/>
        <w:shd w:val="clear" w:color="auto" w:fill="auto"/>
        <w:bidi w:val="0"/>
        <w:jc w:val="both"/>
        <w:spacing w:before="0" w:after="0" w:line="322" w:lineRule="exact"/>
        <w:ind w:left="20" w:right="0" w:firstLine="0"/>
      </w:pPr>
      <w:r>
        <w:rPr>
          <w:lang w:val="ru-RU" w:eastAsia="ru-RU" w:bidi="ru-RU"/>
          <w:w w:val="100"/>
          <w:spacing w:val="0"/>
          <w:color w:val="000000"/>
          <w:position w:val="0"/>
        </w:rPr>
        <w:t>09.2017, изменения - 26.09.2017;</w:t>
      </w:r>
    </w:p>
    <w:p>
      <w:pPr>
        <w:pStyle w:val="Style7"/>
        <w:numPr>
          <w:ilvl w:val="0"/>
          <w:numId w:val="3"/>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способ определения поставщика (подрядчика, исполнителя) - электронный аукцион;</w:t>
      </w:r>
    </w:p>
    <w:p>
      <w:pPr>
        <w:pStyle w:val="Style7"/>
        <w:numPr>
          <w:ilvl w:val="0"/>
          <w:numId w:val="3"/>
        </w:numPr>
        <w:widowControl w:val="0"/>
        <w:keepNext w:val="0"/>
        <w:keepLines w:val="0"/>
        <w:shd w:val="clear" w:color="auto" w:fill="auto"/>
        <w:bidi w:val="0"/>
        <w:jc w:val="both"/>
        <w:spacing w:before="0" w:after="0" w:line="322" w:lineRule="exact"/>
        <w:ind w:left="20" w:right="0" w:firstLine="860"/>
      </w:pPr>
      <w:r>
        <w:rPr>
          <w:lang w:val="ru-RU" w:eastAsia="ru-RU" w:bidi="ru-RU"/>
          <w:w w:val="100"/>
          <w:spacing w:val="0"/>
          <w:color w:val="000000"/>
          <w:position w:val="0"/>
        </w:rPr>
        <w:t xml:space="preserve"> начальная (максимальная) цена контракта - 20 707 600,32 рублей;</w:t>
      </w:r>
    </w:p>
    <w:p>
      <w:pPr>
        <w:pStyle w:val="Style7"/>
        <w:numPr>
          <w:ilvl w:val="0"/>
          <w:numId w:val="3"/>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дата и время окончания подачи заявок: 13.10.2017 08:00 , дата окончания срока рассмотрения первых частей заявок участников: 17.10.2017, дата проведения Аукциона: 20.10.2017;</w:t>
      </w:r>
    </w:p>
    <w:p>
      <w:pPr>
        <w:pStyle w:val="Style7"/>
        <w:numPr>
          <w:ilvl w:val="0"/>
          <w:numId w:val="3"/>
        </w:numPr>
        <w:widowControl w:val="0"/>
        <w:keepNext w:val="0"/>
        <w:keepLines w:val="0"/>
        <w:shd w:val="clear" w:color="auto" w:fill="auto"/>
        <w:bidi w:val="0"/>
        <w:jc w:val="both"/>
        <w:spacing w:before="0" w:after="0" w:line="322" w:lineRule="exact"/>
        <w:ind w:left="20" w:right="0" w:firstLine="860"/>
      </w:pPr>
      <w:r>
        <w:rPr>
          <w:lang w:val="ru-RU" w:eastAsia="ru-RU" w:bidi="ru-RU"/>
          <w:w w:val="100"/>
          <w:spacing w:val="0"/>
          <w:color w:val="000000"/>
          <w:position w:val="0"/>
        </w:rPr>
        <w:t xml:space="preserve"> на участие в Аукционе подано 8 заявок, из них 6 заявок признаны не соответствующими документации об Аукционе и Закону о контрактной системе - заявка под номером «14» (Заявитель);</w:t>
      </w:r>
    </w:p>
    <w:p>
      <w:pPr>
        <w:pStyle w:val="Style7"/>
        <w:numPr>
          <w:ilvl w:val="0"/>
          <w:numId w:val="3"/>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при проведении Аукциона предложения о цене контракта подавали 2 участника, снижение от начальной (максимальной) цены контракта составило 3%;</w:t>
      </w:r>
    </w:p>
    <w:p>
      <w:pPr>
        <w:pStyle w:val="Style7"/>
        <w:numPr>
          <w:ilvl w:val="0"/>
          <w:numId w:val="3"/>
        </w:numPr>
        <w:widowControl w:val="0"/>
        <w:keepNext w:val="0"/>
        <w:keepLines w:val="0"/>
        <w:shd w:val="clear" w:color="auto" w:fill="auto"/>
        <w:bidi w:val="0"/>
        <w:jc w:val="both"/>
        <w:spacing w:before="0" w:after="180" w:line="322" w:lineRule="exact"/>
        <w:ind w:left="20" w:right="20" w:firstLine="860"/>
      </w:pPr>
      <w:r>
        <w:rPr>
          <w:lang w:val="ru-RU" w:eastAsia="ru-RU" w:bidi="ru-RU"/>
          <w:w w:val="100"/>
          <w:spacing w:val="0"/>
          <w:color w:val="000000"/>
          <w:position w:val="0"/>
        </w:rPr>
        <w:t xml:space="preserve"> победителем Аукциона признано ООО «АВАНГАРД» с предложенной ценой контракта 20 086 372, 32 рублей.</w:t>
      </w:r>
    </w:p>
    <w:p>
      <w:pPr>
        <w:pStyle w:val="Style7"/>
        <w:numPr>
          <w:ilvl w:val="0"/>
          <w:numId w:val="7"/>
        </w:numPr>
        <w:tabs>
          <w:tab w:leader="none" w:pos="1210" w:val="left"/>
        </w:tabs>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В качестве довода жалобы Заявитель указывает на то, что Аукционная комиссия Заказчика необоснованно отказала Заявителю в допуске к участию в Аукционе по итогам рассмотрения первых частей заявок участников Аукциона.</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Порядок рассмотрения первых частей заявок на участие в электронном аукционе определен статьей 67 Закона о контрактной системе.</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В соответствии с требованиями части 1 статьи 67 Закона о контрактной системе аукционная комиссия проверяет первые части заявок на участие в электронном аукционе, содержащие информацию, предусмотренную частью 3 статьи 66 Закона о контрактной системе, на соответствие требованиям, установленным документацией о таком аукционе в отношении закупаемых товаров, работ, услуг и по результатам рассмотрения первых частей заявок на участие в электронном аукционе принимает решение о допуске участника закупки, подавшего заявку на участие в таком аукционе, к участию в нем и признании этого участника закупки участником такого аукциона или об отказе в допуске к участию в таком аукционе в порядке и по основаниям, которые предусмотрены частью 4 статьи 67 Закона о контрактной системе (часть 3 статьи 67 Закона о контрактной системе).</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Пунктом 3 части 3 статьи 66 Закона о контрактной системе установлено, что первая часть заявки на участие в электронном аукционе при заключении контракта на выполнение работы или оказание услуги, для выполнения или оказания которых используется товар должна содержать следующую информацию:</w:t>
      </w:r>
    </w:p>
    <w:p>
      <w:pPr>
        <w:pStyle w:val="Style7"/>
        <w:numPr>
          <w:ilvl w:val="0"/>
          <w:numId w:val="3"/>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согласие, предусмотренное пунктом 2 части 3 статьи 66 Закона о контрактной системе, в том числе согласие на использование товара, в отношении которого в документации о таком аукционе содержится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либо согласие, предусмотренное пунктом 2 части 3 статьи 66 Закона о контрактной системе,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и, если участник такого аукциона предлагает для использования товар, который является эквивалентным товару, указанному в данной документации, конкретные показатели товара, соответствующие значениям эквивалентности, установленным данной документацией, при условии содержания в ней указания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w:t>
        <w:br w:type="page"/>
        <w:t>наличии), наименование страны происхождения товара, а также требование о необходимости указания в заявке на участие в таком аукционе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pPr>
        <w:pStyle w:val="Style7"/>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 согласие, предусмотренное пунктом 2 части 3 статьи 66 Закона о контрактной системе, а также конкретные показатели используемого товара,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pPr>
        <w:pStyle w:val="Style7"/>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Согласно части 4 статьи 67 Закона о контрактной системе участник электронного аукциона не допускается к участию в нем в случае:</w:t>
      </w:r>
    </w:p>
    <w:p>
      <w:pPr>
        <w:pStyle w:val="Style7"/>
        <w:numPr>
          <w:ilvl w:val="0"/>
          <w:numId w:val="9"/>
        </w:numPr>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 xml:space="preserve"> непредоставления информации, предусмотренной частью 3 статьи 66 Закона о контрактной системе, или предоставления недостоверной информации;</w:t>
      </w:r>
    </w:p>
    <w:p>
      <w:pPr>
        <w:pStyle w:val="Style7"/>
        <w:numPr>
          <w:ilvl w:val="0"/>
          <w:numId w:val="9"/>
        </w:numPr>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 xml:space="preserve"> несоответствия информации, предусмотренной частью 3 статьи 66 Закона о контрактной системе, требованиям документации о таком аукционе.</w:t>
      </w:r>
    </w:p>
    <w:p>
      <w:pPr>
        <w:pStyle w:val="Style7"/>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Частью 5 статьи 67 Закона о контрактной системе установлено, что аукционная комиссия не имеет права отказать участнику в допуске к участию в электронном аукционе по основаниям, не предусмотренным частью 4 статьи 67 Закона о контрактной системе.</w:t>
      </w:r>
    </w:p>
    <w:p>
      <w:pPr>
        <w:pStyle w:val="Style7"/>
        <w:widowControl w:val="0"/>
        <w:keepNext w:val="0"/>
        <w:keepLines w:val="0"/>
        <w:shd w:val="clear" w:color="auto" w:fill="auto"/>
        <w:bidi w:val="0"/>
        <w:jc w:val="both"/>
        <w:spacing w:before="0" w:after="0" w:line="322" w:lineRule="exact"/>
        <w:ind w:left="0" w:right="20" w:firstLine="700"/>
      </w:pPr>
      <w:r>
        <w:rPr>
          <w:lang w:val="ru-RU" w:eastAsia="ru-RU" w:bidi="ru-RU"/>
          <w:w w:val="100"/>
          <w:spacing w:val="0"/>
          <w:color w:val="000000"/>
          <w:position w:val="0"/>
        </w:rPr>
        <w:t xml:space="preserve">В соответствии с протоколом рассмотрения заявок на участие в электронном аукционе от 17.10.2017 № 0375100002917000231-1 закупки с порядковым номером заявки «14» (Заявитель) отказано в допуске к участию в Аукционе по причине: </w:t>
      </w:r>
      <w:r>
        <w:rPr>
          <w:rStyle w:val="CharStyle14"/>
        </w:rPr>
        <w:t>«...</w:t>
      </w:r>
    </w:p>
    <w:p>
      <w:pPr>
        <w:pStyle w:val="Style12"/>
        <w:widowControl w:val="0"/>
        <w:keepNext w:val="0"/>
        <w:keepLines w:val="0"/>
        <w:shd w:val="clear" w:color="auto" w:fill="auto"/>
        <w:bidi w:val="0"/>
        <w:spacing w:before="0" w:after="184"/>
        <w:ind w:left="0" w:right="20" w:firstLine="860"/>
      </w:pPr>
      <w:r>
        <w:rPr>
          <w:lang w:val="ru-RU" w:eastAsia="ru-RU" w:bidi="ru-RU"/>
          <w:w w:val="100"/>
          <w:spacing w:val="0"/>
          <w:color w:val="000000"/>
          <w:position w:val="0"/>
        </w:rPr>
        <w:t>На основании п. 2 ч. 4 ст. 67 Федерального закона № 44-ФЗ: несоответствие информации, предусмотренной частью 3 статьи 66 Федерального закона № 44-ФЗ, требованиям документации о таком аукционе, а именно:</w:t>
      </w:r>
    </w:p>
    <w:p>
      <w:pPr>
        <w:pStyle w:val="Style12"/>
        <w:widowControl w:val="0"/>
        <w:keepNext w:val="0"/>
        <w:keepLines w:val="0"/>
        <w:shd w:val="clear" w:color="auto" w:fill="auto"/>
        <w:bidi w:val="0"/>
        <w:spacing w:before="0" w:after="0" w:line="226" w:lineRule="exact"/>
        <w:ind w:left="0" w:right="20" w:firstLine="860"/>
      </w:pPr>
      <w:r>
        <w:rPr>
          <w:lang w:val="ru-RU" w:eastAsia="ru-RU" w:bidi="ru-RU"/>
          <w:w w:val="100"/>
          <w:spacing w:val="0"/>
          <w:color w:val="000000"/>
          <w:position w:val="0"/>
        </w:rPr>
        <w:t>В п, 30 заявки Участник предалашает: «Средство для удаления пыли, локальных загрязнений с поверхностей выключателей и розеток ГОСТ 32478-2013». При этом по данным Участника «Средство не содержит хлора». Требования Заказчика: «Средство не должно содержать хлора ил аналогов» В данном случае фраза «или аналогов», является частью показателя и подлежат указанию в заявке. Аналогами хлора являются: фтор, бром, йод, астат. Судя по данным участника средство не содержит хлора, но содержит его аналоги, т.к. Участник не указывает на их отсутствие</w:t>
      </w:r>
    </w:p>
    <w:p>
      <w:pPr>
        <w:pStyle w:val="Style12"/>
        <w:widowControl w:val="0"/>
        <w:keepNext w:val="0"/>
        <w:keepLines w:val="0"/>
        <w:shd w:val="clear" w:color="auto" w:fill="auto"/>
        <w:bidi w:val="0"/>
        <w:spacing w:before="0" w:after="0" w:line="322" w:lineRule="exact"/>
        <w:ind w:left="0" w:right="0" w:firstLine="0"/>
      </w:pPr>
      <w:r>
        <w:rPr>
          <w:lang w:val="ru-RU" w:eastAsia="ru-RU" w:bidi="ru-RU"/>
          <w:w w:val="100"/>
          <w:spacing w:val="0"/>
          <w:color w:val="000000"/>
          <w:position w:val="0"/>
        </w:rPr>
        <w:t>как требует Заказчик</w:t>
      </w:r>
      <w:r>
        <w:rPr>
          <w:rStyle w:val="CharStyle16"/>
          <w:b w:val="0"/>
          <w:bCs w:val="0"/>
        </w:rPr>
        <w:t xml:space="preserve"> » (цитата).</w:t>
      </w:r>
    </w:p>
    <w:p>
      <w:pPr>
        <w:pStyle w:val="Style7"/>
        <w:widowControl w:val="0"/>
        <w:keepNext w:val="0"/>
        <w:keepLines w:val="0"/>
        <w:shd w:val="clear" w:color="auto" w:fill="auto"/>
        <w:bidi w:val="0"/>
        <w:jc w:val="both"/>
        <w:spacing w:before="0" w:after="0" w:line="322" w:lineRule="exact"/>
        <w:ind w:left="0" w:right="0" w:firstLine="860"/>
      </w:pPr>
      <w:r>
        <w:rPr>
          <w:lang w:val="ru-RU" w:eastAsia="ru-RU" w:bidi="ru-RU"/>
          <w:w w:val="100"/>
          <w:spacing w:val="0"/>
          <w:color w:val="000000"/>
          <w:position w:val="0"/>
        </w:rPr>
        <w:t>Заказчиком в Техническом заданию документации об Аукционе установлено:</w:t>
      </w:r>
    </w:p>
    <w:p>
      <w:pPr>
        <w:pStyle w:val="Style7"/>
        <w:widowControl w:val="0"/>
        <w:keepNext w:val="0"/>
        <w:keepLines w:val="0"/>
        <w:shd w:val="clear" w:color="auto" w:fill="auto"/>
        <w:bidi w:val="0"/>
        <w:jc w:val="both"/>
        <w:spacing w:before="0" w:after="0" w:line="322" w:lineRule="exact"/>
        <w:ind w:left="0" w:right="0" w:firstLine="0"/>
      </w:pPr>
      <w:r>
        <w:rPr>
          <w:lang w:val="ru-RU" w:eastAsia="ru-RU" w:bidi="ru-RU"/>
          <w:w w:val="100"/>
          <w:spacing w:val="0"/>
          <w:color w:val="000000"/>
          <w:position w:val="0"/>
        </w:rPr>
        <w:t>«_</w:t>
      </w:r>
    </w:p>
    <w:p>
      <w:pPr>
        <w:pStyle w:val="Style12"/>
        <w:framePr w:w="2395" w:h="906" w:wrap="around" w:vAnchor="text" w:hAnchor="margin" w:x="108" w:y="-35"/>
        <w:widowControl w:val="0"/>
        <w:keepNext w:val="0"/>
        <w:keepLines w:val="0"/>
        <w:shd w:val="clear" w:color="auto" w:fill="auto"/>
        <w:bidi w:val="0"/>
        <w:jc w:val="left"/>
        <w:spacing w:before="0" w:after="0" w:line="226" w:lineRule="exact"/>
        <w:ind w:left="80" w:right="0" w:firstLine="0"/>
      </w:pPr>
      <w:r>
        <w:rPr>
          <w:rStyle w:val="CharStyle13"/>
          <w:b/>
          <w:bCs/>
          <w:spacing w:val="0"/>
        </w:rPr>
        <w:t>1. Средство</w:t>
      </w:r>
    </w:p>
    <w:p>
      <w:pPr>
        <w:pStyle w:val="Style12"/>
        <w:framePr w:w="2395" w:h="906" w:wrap="around" w:vAnchor="text" w:hAnchor="margin" w:x="108" w:y="-35"/>
        <w:widowControl w:val="0"/>
        <w:keepNext w:val="0"/>
        <w:keepLines w:val="0"/>
        <w:shd w:val="clear" w:color="auto" w:fill="auto"/>
        <w:bidi w:val="0"/>
        <w:jc w:val="left"/>
        <w:spacing w:before="0" w:after="0" w:line="226" w:lineRule="exact"/>
        <w:ind w:left="600" w:right="100" w:firstLine="0"/>
      </w:pPr>
      <w:r>
        <w:rPr>
          <w:rStyle w:val="CharStyle13"/>
          <w:b/>
          <w:bCs/>
          <w:spacing w:val="0"/>
        </w:rPr>
        <w:t>дезинфицирующее ГОСТ Р 56990-2016 ГОСТ 32478-2013</w:t>
      </w:r>
    </w:p>
    <w:p>
      <w:pPr>
        <w:pStyle w:val="Style12"/>
        <w:widowControl w:val="0"/>
        <w:keepNext w:val="0"/>
        <w:keepLines w:val="0"/>
        <w:pBdr>
          <w:top w:val="single" w:sz="4" w:space="1" w:color="auto"/>
          <w:bottom w:val="single" w:sz="4" w:space="1" w:color="auto"/>
          <w:left w:val="single" w:sz="4" w:space="4" w:color="auto"/>
          <w:right w:val="single" w:sz="4" w:space="4" w:color="auto"/>
        </w:pBdr>
        <w:shd w:val="clear" w:color="auto" w:fill="auto"/>
        <w:bidi w:val="0"/>
        <w:spacing w:before="0" w:after="0" w:line="226" w:lineRule="exact"/>
        <w:ind w:left="0" w:right="20" w:firstLine="0"/>
      </w:pPr>
      <w:r>
        <w:rPr>
          <w:lang w:val="ru-RU" w:eastAsia="ru-RU" w:bidi="ru-RU"/>
          <w:w w:val="100"/>
          <w:spacing w:val="0"/>
          <w:color w:val="000000"/>
          <w:position w:val="0"/>
        </w:rPr>
        <w:t xml:space="preserve">Средство должно быть предназначено для дезинфекции и мытья поверхностей в помещениях, жесткой и мягкой мебели, напольных покрытий и обивочных тканей, резиновых и полипропиленовых ковриков, уборочного инвентаря и материала. Средство должно подходить для ручной и механизированной уборки. Должно уничтожать плесень. Средство должно обладать антимикробной активностью в отношении грамотрицательных и грамположительных (включая микробактерии туберкулеза) микроорганизмов, вирусов (в отношении всех известных вирусов-патогенов человека, в том числе вирусов энтеральных и парентеральных гепатитов (в т.ч. гепатита А, В и С), ВИЧ, полиомиелита, аденовирусов, вирусов «атипичной пневмонии» </w:t>
      </w:r>
      <w:r>
        <w:rPr>
          <w:lang w:val="en-US" w:eastAsia="en-US" w:bidi="en-US"/>
          <w:w w:val="100"/>
          <w:spacing w:val="0"/>
          <w:color w:val="000000"/>
          <w:position w:val="0"/>
        </w:rPr>
        <w:t xml:space="preserve">(SARS), </w:t>
      </w:r>
      <w:r>
        <w:rPr>
          <w:rStyle w:val="CharStyle17"/>
          <w:b/>
          <w:bCs/>
        </w:rPr>
        <w:t xml:space="preserve">«птичьего» гриппа </w:t>
      </w:r>
      <w:r>
        <w:rPr>
          <w:rStyle w:val="CharStyle17"/>
          <w:lang w:val="en-US" w:eastAsia="en-US" w:bidi="en-US"/>
          <w:b/>
          <w:bCs/>
        </w:rPr>
        <w:t xml:space="preserve">H5N1, </w:t>
      </w:r>
      <w:r>
        <w:rPr>
          <w:rStyle w:val="CharStyle17"/>
          <w:b/>
          <w:bCs/>
        </w:rPr>
        <w:t>«свиного» гриппа, гриппа человека,</w:t>
      </w:r>
      <w:r>
        <w:br w:type="page"/>
      </w:r>
    </w:p>
    <w:tbl>
      <w:tblPr>
        <w:tblOverlap w:val="never"/>
        <w:tblLayout w:type="fixed"/>
        <w:jc w:val="center"/>
      </w:tblPr>
      <w:tblGrid>
        <w:gridCol w:w="576"/>
        <w:gridCol w:w="2270"/>
        <w:gridCol w:w="5645"/>
        <w:gridCol w:w="1709"/>
      </w:tblGrid>
      <w:tr>
        <w:trPr>
          <w:trHeight w:val="1397" w:hRule="exact"/>
        </w:trPr>
        <w:tc>
          <w:tcPr>
            <w:shd w:val="clear" w:color="auto" w:fill="FFFFFF"/>
            <w:tcBorders>
              <w:left w:val="single" w:sz="4"/>
              <w:top w:val="single" w:sz="4"/>
            </w:tcBorders>
            <w:vAlign w:val="top"/>
          </w:tcPr>
          <w:p>
            <w:pPr>
              <w:framePr w:w="10200"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00" w:wrap="notBeside" w:vAnchor="text" w:hAnchor="text" w:xAlign="center" w:y="1"/>
              <w:widowControl w:val="0"/>
              <w:rPr>
                <w:sz w:val="10"/>
                <w:szCs w:val="10"/>
              </w:rPr>
            </w:pPr>
          </w:p>
        </w:tc>
        <w:tc>
          <w:tcPr>
            <w:shd w:val="clear" w:color="auto" w:fill="FFFFFF"/>
            <w:tcBorders>
              <w:left w:val="single" w:sz="4"/>
              <w:top w:val="single" w:sz="4"/>
            </w:tcBorders>
            <w:vAlign w:val="bottom"/>
          </w:tcPr>
          <w:p>
            <w:pPr>
              <w:pStyle w:val="Style7"/>
              <w:framePr w:w="10200" w:wrap="notBeside" w:vAnchor="text" w:hAnchor="text" w:xAlign="center" w:y="1"/>
              <w:widowControl w:val="0"/>
              <w:keepNext w:val="0"/>
              <w:keepLines w:val="0"/>
              <w:shd w:val="clear" w:color="auto" w:fill="auto"/>
              <w:bidi w:val="0"/>
              <w:jc w:val="both"/>
              <w:spacing w:before="0" w:after="0" w:line="230" w:lineRule="exact"/>
              <w:ind w:left="0" w:right="0" w:firstLine="0"/>
            </w:pPr>
            <w:r>
              <w:rPr>
                <w:rStyle w:val="CharStyle20"/>
              </w:rPr>
              <w:t>герпеса), грибов рода Кандида, Трихофитон и плесневых грибов (Аспергиллюс), возбудителей внутрибольничных инфекций, анаэробной инфекции. Средство не должно вызывать коррозии металлов. Средство по параметрам острой токсичности по ГОСТ 12.1.007-76 должно относиться к 4 классу малоопасных веществ.</w:t>
            </w:r>
          </w:p>
        </w:tc>
        <w:tc>
          <w:tcPr>
            <w:shd w:val="clear" w:color="auto" w:fill="FFFFFF"/>
            <w:tcBorders>
              <w:left w:val="single" w:sz="4"/>
              <w:right w:val="single" w:sz="4"/>
              <w:top w:val="single" w:sz="4"/>
            </w:tcBorders>
            <w:vAlign w:val="top"/>
          </w:tcPr>
          <w:p>
            <w:pPr>
              <w:framePr w:w="10200" w:wrap="notBeside" w:vAnchor="text" w:hAnchor="text" w:xAlign="center" w:y="1"/>
              <w:widowControl w:val="0"/>
              <w:rPr>
                <w:sz w:val="10"/>
                <w:szCs w:val="10"/>
              </w:rPr>
            </w:pPr>
          </w:p>
        </w:tc>
      </w:tr>
      <w:tr>
        <w:trPr>
          <w:trHeight w:val="250" w:hRule="exact"/>
        </w:trPr>
        <w:tc>
          <w:tcPr>
            <w:shd w:val="clear" w:color="auto" w:fill="FFFFFF"/>
            <w:tcBorders>
              <w:left w:val="single" w:sz="4"/>
              <w:top w:val="single" w:sz="4"/>
              <w:bottom w:val="single" w:sz="4"/>
            </w:tcBorders>
            <w:vAlign w:val="top"/>
          </w:tcPr>
          <w:p>
            <w:pPr>
              <w:framePr w:w="10200" w:wrap="notBeside" w:vAnchor="text" w:hAnchor="text" w:xAlign="center" w:y="1"/>
              <w:widowControl w:val="0"/>
              <w:rPr>
                <w:sz w:val="10"/>
                <w:szCs w:val="10"/>
              </w:rPr>
            </w:pPr>
          </w:p>
        </w:tc>
        <w:tc>
          <w:tcPr>
            <w:shd w:val="clear" w:color="auto" w:fill="FFFFFF"/>
            <w:tcBorders>
              <w:left w:val="single" w:sz="4"/>
              <w:top w:val="single" w:sz="4"/>
              <w:bottom w:val="single" w:sz="4"/>
            </w:tcBorders>
            <w:vAlign w:val="top"/>
          </w:tcPr>
          <w:p>
            <w:pPr>
              <w:framePr w:w="10200" w:wrap="notBeside" w:vAnchor="text" w:hAnchor="text" w:xAlign="center" w:y="1"/>
              <w:widowControl w:val="0"/>
              <w:rPr>
                <w:sz w:val="10"/>
                <w:szCs w:val="10"/>
              </w:rPr>
            </w:pPr>
          </w:p>
        </w:tc>
        <w:tc>
          <w:tcPr>
            <w:shd w:val="clear" w:color="auto" w:fill="FFFFFF"/>
            <w:tcBorders>
              <w:left w:val="single" w:sz="4"/>
              <w:top w:val="single" w:sz="4"/>
              <w:bottom w:val="single" w:sz="4"/>
            </w:tcBorders>
            <w:vAlign w:val="top"/>
          </w:tcPr>
          <w:p>
            <w:pPr>
              <w:framePr w:w="10200" w:wrap="notBeside" w:vAnchor="text" w:hAnchor="text" w:xAlign="center" w:y="1"/>
              <w:widowControl w:val="0"/>
              <w:rPr>
                <w:sz w:val="10"/>
                <w:szCs w:val="10"/>
              </w:rPr>
            </w:pPr>
          </w:p>
        </w:tc>
        <w:tc>
          <w:tcPr>
            <w:shd w:val="clear" w:color="auto" w:fill="FFFFFF"/>
            <w:tcBorders>
              <w:left w:val="single" w:sz="4"/>
              <w:right w:val="single" w:sz="4"/>
              <w:top w:val="single" w:sz="4"/>
              <w:bottom w:val="single" w:sz="4"/>
            </w:tcBorders>
            <w:vAlign w:val="top"/>
          </w:tcPr>
          <w:p>
            <w:pPr>
              <w:framePr w:w="10200" w:wrap="notBeside" w:vAnchor="text" w:hAnchor="text" w:xAlign="center" w:y="1"/>
              <w:widowControl w:val="0"/>
              <w:rPr>
                <w:sz w:val="10"/>
                <w:szCs w:val="10"/>
              </w:rPr>
            </w:pPr>
          </w:p>
        </w:tc>
      </w:tr>
    </w:tbl>
    <w:p>
      <w:pPr>
        <w:pStyle w:val="Style18"/>
        <w:framePr w:w="10200" w:wrap="notBeside" w:vAnchor="text" w:hAnchor="text" w:xAlign="center" w:y="1"/>
        <w:widowControl w:val="0"/>
        <w:keepNext w:val="0"/>
        <w:keepLines w:val="0"/>
        <w:shd w:val="clear" w:color="auto" w:fill="auto"/>
        <w:bidi w:val="0"/>
        <w:jc w:val="left"/>
        <w:spacing w:before="0" w:after="0" w:line="260" w:lineRule="exact"/>
        <w:ind w:left="0" w:right="0" w:firstLine="0"/>
      </w:pPr>
      <w:r>
        <w:rPr>
          <w:lang w:val="ru-RU" w:eastAsia="ru-RU" w:bidi="ru-RU"/>
          <w:w w:val="100"/>
          <w:spacing w:val="0"/>
          <w:color w:val="000000"/>
          <w:position w:val="0"/>
        </w:rPr>
        <w:t>_» (цитата).</w:t>
      </w:r>
    </w:p>
    <w:p>
      <w:pPr>
        <w:widowControl w:val="0"/>
        <w:rPr>
          <w:sz w:val="2"/>
          <w:szCs w:val="2"/>
        </w:rPr>
      </w:pPr>
    </w:p>
    <w:p>
      <w:pPr>
        <w:pStyle w:val="Style7"/>
        <w:widowControl w:val="0"/>
        <w:keepNext w:val="0"/>
        <w:keepLines w:val="0"/>
        <w:shd w:val="clear" w:color="auto" w:fill="auto"/>
        <w:bidi w:val="0"/>
        <w:jc w:val="both"/>
        <w:spacing w:before="0" w:after="0" w:line="322" w:lineRule="exact"/>
        <w:ind w:left="0" w:right="20" w:firstLine="840"/>
      </w:pPr>
      <w:r>
        <w:rPr>
          <w:lang w:val="ru-RU" w:eastAsia="ru-RU" w:bidi="ru-RU"/>
          <w:w w:val="100"/>
          <w:spacing w:val="0"/>
          <w:color w:val="000000"/>
          <w:position w:val="0"/>
        </w:rPr>
        <w:t>В ходе заседания Комиссии представители Заказчика пояснили, что Заявителем в составе своей первой части заявки под порядковым номером «14» представлены показатели товаров (материалов), используемых при выполнении работ противоречащие требованиям документации об Аукционе.</w:t>
      </w:r>
    </w:p>
    <w:p>
      <w:pPr>
        <w:pStyle w:val="Style7"/>
        <w:widowControl w:val="0"/>
        <w:keepNext w:val="0"/>
        <w:keepLines w:val="0"/>
        <w:shd w:val="clear" w:color="auto" w:fill="auto"/>
        <w:bidi w:val="0"/>
        <w:jc w:val="both"/>
        <w:spacing w:before="0" w:after="0" w:line="322" w:lineRule="exact"/>
        <w:ind w:left="0" w:right="20" w:firstLine="840"/>
      </w:pPr>
      <w:r>
        <w:rPr>
          <w:lang w:val="ru-RU" w:eastAsia="ru-RU" w:bidi="ru-RU"/>
          <w:w w:val="100"/>
          <w:spacing w:val="0"/>
          <w:color w:val="000000"/>
          <w:position w:val="0"/>
        </w:rPr>
        <w:t xml:space="preserve">Вместе с тем, на заседании Комиссии представитель Заказчика не смог пояснить к каким именно функциональным, качественным или эксплуатационным характеристикам материалов относится показатель </w:t>
      </w:r>
      <w:r>
        <w:rPr>
          <w:rStyle w:val="CharStyle21"/>
        </w:rPr>
        <w:t>«или аналог».</w:t>
      </w:r>
    </w:p>
    <w:p>
      <w:pPr>
        <w:pStyle w:val="Style7"/>
        <w:widowControl w:val="0"/>
        <w:keepNext w:val="0"/>
        <w:keepLines w:val="0"/>
        <w:shd w:val="clear" w:color="auto" w:fill="auto"/>
        <w:bidi w:val="0"/>
        <w:jc w:val="both"/>
        <w:spacing w:before="0" w:after="60" w:line="322" w:lineRule="exact"/>
        <w:ind w:left="0" w:right="20" w:firstLine="840"/>
      </w:pPr>
      <w:r>
        <w:rPr>
          <w:lang w:val="ru-RU" w:eastAsia="ru-RU" w:bidi="ru-RU"/>
          <w:w w:val="100"/>
          <w:spacing w:val="0"/>
          <w:color w:val="000000"/>
          <w:position w:val="0"/>
        </w:rPr>
        <w:t>Исходя из приведенного выше, Комиссия приходит к выводу, что действия Аукционной комиссии Заказчика по рассмотрению заявки с порядковым номером «14» и признание данной заявки не соответствующей требованиям, установленным документацией об Аукционе, нарушают требования статей 66, 67 Закона о контрактной системе и содержат признаки административного правонарушения, ответственность за совершение которого предусмотрена частью 2 статьи 7.30 Кодекса Российской Федерации об административных правонарушениях.</w:t>
      </w:r>
    </w:p>
    <w:p>
      <w:pPr>
        <w:pStyle w:val="Style7"/>
        <w:numPr>
          <w:ilvl w:val="0"/>
          <w:numId w:val="7"/>
        </w:numPr>
        <w:tabs>
          <w:tab w:leader="none" w:pos="1195" w:val="left"/>
        </w:tabs>
        <w:widowControl w:val="0"/>
        <w:keepNext w:val="0"/>
        <w:keepLines w:val="0"/>
        <w:shd w:val="clear" w:color="auto" w:fill="auto"/>
        <w:bidi w:val="0"/>
        <w:jc w:val="both"/>
        <w:spacing w:before="0" w:after="0" w:line="322" w:lineRule="exact"/>
        <w:ind w:left="0" w:right="20" w:firstLine="840"/>
      </w:pPr>
      <w:r>
        <w:rPr>
          <w:lang w:val="ru-RU" w:eastAsia="ru-RU" w:bidi="ru-RU"/>
          <w:w w:val="100"/>
          <w:spacing w:val="0"/>
          <w:color w:val="000000"/>
          <w:position w:val="0"/>
        </w:rPr>
        <w:t>Внеплановая проверка процедуры закупки в соответствии с частью 15 статьи 99 Закона о контрактной системе, пунктом 3.30 Административного регламента от 19.11.2014 №727/14, Комиссией не проводится ввиду проведения данной проверки при рассмотрении материалов дела №06/3990-17 по жалобе ООО «Группа компаний ТРЭНД» на действия Аукционной комиссии Заказчика при проведении Аукциона.</w:t>
      </w:r>
    </w:p>
    <w:p>
      <w:pPr>
        <w:pStyle w:val="Style7"/>
        <w:widowControl w:val="0"/>
        <w:keepNext w:val="0"/>
        <w:keepLines w:val="0"/>
        <w:shd w:val="clear" w:color="auto" w:fill="auto"/>
        <w:bidi w:val="0"/>
        <w:jc w:val="both"/>
        <w:spacing w:before="0" w:after="0" w:line="322" w:lineRule="exact"/>
        <w:ind w:left="0" w:right="20" w:firstLine="840"/>
      </w:pPr>
      <w:r>
        <w:rPr>
          <w:lang w:val="ru-RU" w:eastAsia="ru-RU" w:bidi="ru-RU"/>
          <w:w w:val="100"/>
          <w:spacing w:val="0"/>
          <w:color w:val="000000"/>
          <w:position w:val="0"/>
        </w:rPr>
        <w:t>По результатам проверки Комиссия решением от 25.10.2017 по делу №06/3990-17 признала Заказчика, Аукционную комиссию Заказчика нарушившим требования 2 части 1 стать 64, статей 66, 67 Закона о контрактной системе.</w:t>
      </w:r>
    </w:p>
    <w:p>
      <w:pPr>
        <w:pStyle w:val="Style7"/>
        <w:widowControl w:val="0"/>
        <w:keepNext w:val="0"/>
        <w:keepLines w:val="0"/>
        <w:shd w:val="clear" w:color="auto" w:fill="auto"/>
        <w:bidi w:val="0"/>
        <w:jc w:val="both"/>
        <w:spacing w:before="0" w:after="0" w:line="322" w:lineRule="exact"/>
        <w:ind w:left="0" w:right="20" w:firstLine="840"/>
      </w:pPr>
      <w:r>
        <w:rPr>
          <w:lang w:val="ru-RU" w:eastAsia="ru-RU" w:bidi="ru-RU"/>
          <w:w w:val="100"/>
          <w:spacing w:val="0"/>
          <w:color w:val="000000"/>
          <w:position w:val="0"/>
        </w:rPr>
        <w:t>Заказчику выдано предписание от 25.10.2017 по делу №06/3990-17 об устранении нарушений законодательства Российской Федерации о контрактной системе в сфере закупок, в части повторного рассмотрения первых частей заявок, поданных участниками закупки до окончания срока подачи заявок на участие в Аукционе с учетом решения от 25.10.2017 по делу №06/3990-17 и осуществления дальнейшего проведения процедуры определения поставщика (подрядчика, исполнителя) в соответствии с требованиями законодательства Российской Федерации о контрактной системе в сфере закупок.</w:t>
      </w:r>
    </w:p>
    <w:p>
      <w:pPr>
        <w:pStyle w:val="Style7"/>
        <w:widowControl w:val="0"/>
        <w:keepNext w:val="0"/>
        <w:keepLines w:val="0"/>
        <w:shd w:val="clear" w:color="auto" w:fill="auto"/>
        <w:bidi w:val="0"/>
        <w:jc w:val="both"/>
        <w:spacing w:before="0" w:after="240" w:line="322" w:lineRule="exact"/>
        <w:ind w:left="0" w:right="20" w:firstLine="840"/>
      </w:pPr>
      <w:r>
        <w:rPr>
          <w:lang w:val="ru-RU" w:eastAsia="ru-RU" w:bidi="ru-RU"/>
          <w:w w:val="100"/>
          <w:spacing w:val="0"/>
          <w:color w:val="000000"/>
          <w:position w:val="0"/>
        </w:rPr>
        <w:t>Решением от 25.10.2017 по делу №06/3990-17 материалы дела №06/3990-17 переданы соответствующему должностному лицу Крымского УФАС России для рассмотрения вопроса о возбуждении дела об административном правонарушении.</w:t>
      </w:r>
    </w:p>
    <w:p>
      <w:pPr>
        <w:pStyle w:val="Style7"/>
        <w:widowControl w:val="0"/>
        <w:keepNext w:val="0"/>
        <w:keepLines w:val="0"/>
        <w:shd w:val="clear" w:color="auto" w:fill="auto"/>
        <w:bidi w:val="0"/>
        <w:jc w:val="both"/>
        <w:spacing w:before="0" w:after="0" w:line="322" w:lineRule="exact"/>
        <w:ind w:left="0" w:right="20" w:firstLine="840"/>
      </w:pPr>
      <w:r>
        <w:rPr>
          <w:lang w:val="ru-RU" w:eastAsia="ru-RU" w:bidi="ru-RU"/>
          <w:w w:val="100"/>
          <w:spacing w:val="0"/>
          <w:color w:val="000000"/>
          <w:position w:val="0"/>
        </w:rPr>
        <w:t>На основании изложенного, руководствуясь частью 8 статьи 106 Закона о контрактной системе, Административным регламентом от 19.11.2014 №727/14, Комиссия</w:t>
      </w:r>
    </w:p>
    <w:p>
      <w:pPr>
        <w:pStyle w:val="Style7"/>
        <w:widowControl w:val="0"/>
        <w:keepNext w:val="0"/>
        <w:keepLines w:val="0"/>
        <w:shd w:val="clear" w:color="auto" w:fill="auto"/>
        <w:bidi w:val="0"/>
        <w:jc w:val="center"/>
        <w:spacing w:before="0" w:after="122" w:line="260" w:lineRule="exact"/>
        <w:ind w:left="0" w:right="0" w:firstLine="0"/>
      </w:pPr>
      <w:r>
        <w:rPr>
          <w:lang w:val="ru-RU" w:eastAsia="ru-RU" w:bidi="ru-RU"/>
          <w:w w:val="100"/>
          <w:spacing w:val="0"/>
          <w:color w:val="000000"/>
          <w:position w:val="0"/>
        </w:rPr>
        <w:t>РЕШИЛА:</w:t>
      </w:r>
    </w:p>
    <w:p>
      <w:pPr>
        <w:pStyle w:val="Style7"/>
        <w:numPr>
          <w:ilvl w:val="0"/>
          <w:numId w:val="11"/>
        </w:numPr>
        <w:widowControl w:val="0"/>
        <w:keepNext w:val="0"/>
        <w:keepLines w:val="0"/>
        <w:shd w:val="clear" w:color="auto" w:fill="auto"/>
        <w:bidi w:val="0"/>
        <w:jc w:val="both"/>
        <w:spacing w:before="0" w:after="68" w:line="260" w:lineRule="exact"/>
        <w:ind w:left="0" w:right="0" w:firstLine="860"/>
      </w:pPr>
      <w:r>
        <w:rPr>
          <w:lang w:val="ru-RU" w:eastAsia="ru-RU" w:bidi="ru-RU"/>
          <w:w w:val="100"/>
          <w:spacing w:val="0"/>
          <w:color w:val="000000"/>
          <w:position w:val="0"/>
        </w:rPr>
        <w:t xml:space="preserve"> Признать жалобу Заявителя обоснованной.</w:t>
      </w:r>
    </w:p>
    <w:p>
      <w:pPr>
        <w:pStyle w:val="Style7"/>
        <w:numPr>
          <w:ilvl w:val="0"/>
          <w:numId w:val="11"/>
        </w:numPr>
        <w:widowControl w:val="0"/>
        <w:keepNext w:val="0"/>
        <w:keepLines w:val="0"/>
        <w:shd w:val="clear" w:color="auto" w:fill="auto"/>
        <w:bidi w:val="0"/>
        <w:jc w:val="both"/>
        <w:spacing w:before="0" w:after="60" w:line="322" w:lineRule="exact"/>
        <w:ind w:left="0" w:right="0" w:firstLine="860"/>
      </w:pPr>
      <w:r>
        <w:rPr>
          <w:lang w:val="ru-RU" w:eastAsia="ru-RU" w:bidi="ru-RU"/>
          <w:w w:val="100"/>
          <w:spacing w:val="0"/>
          <w:color w:val="000000"/>
          <w:position w:val="0"/>
        </w:rPr>
        <w:t xml:space="preserve"> Признать Аукционную комиссию Заказчика нарушившей требования статей 66, 67 Закона о контрактной системе.</w:t>
      </w:r>
    </w:p>
    <w:p>
      <w:pPr>
        <w:pStyle w:val="Style7"/>
        <w:numPr>
          <w:ilvl w:val="0"/>
          <w:numId w:val="11"/>
        </w:numPr>
        <w:widowControl w:val="0"/>
        <w:keepNext w:val="0"/>
        <w:keepLines w:val="0"/>
        <w:shd w:val="clear" w:color="auto" w:fill="auto"/>
        <w:bidi w:val="0"/>
        <w:jc w:val="both"/>
        <w:spacing w:before="0" w:after="0" w:line="322" w:lineRule="exact"/>
        <w:ind w:left="0" w:right="0" w:firstLine="860"/>
      </w:pPr>
      <w:r>
        <w:rPr>
          <w:lang w:val="ru-RU" w:eastAsia="ru-RU" w:bidi="ru-RU"/>
          <w:w w:val="100"/>
          <w:spacing w:val="0"/>
          <w:color w:val="000000"/>
          <w:position w:val="0"/>
        </w:rPr>
        <w:t xml:space="preserve"> Заказчику, Аукционной комиссии Заказчика предписание об устранении нарушений законодательства Российской Федерации о контрактной системе в сфере закупок не выдавать, т.к. по установленным нарушениям выдано предписание по делу №06/3990-17.</w:t>
      </w:r>
    </w:p>
    <w:p>
      <w:pPr>
        <w:pStyle w:val="Style7"/>
        <w:numPr>
          <w:ilvl w:val="0"/>
          <w:numId w:val="11"/>
        </w:numPr>
        <w:widowControl w:val="0"/>
        <w:keepNext w:val="0"/>
        <w:keepLines w:val="0"/>
        <w:shd w:val="clear" w:color="auto" w:fill="auto"/>
        <w:bidi w:val="0"/>
        <w:jc w:val="both"/>
        <w:spacing w:before="0" w:after="56" w:line="322" w:lineRule="exact"/>
        <w:ind w:left="0" w:right="0" w:firstLine="860"/>
      </w:pPr>
      <w:r>
        <w:rPr>
          <w:lang w:val="ru-RU" w:eastAsia="ru-RU" w:bidi="ru-RU"/>
          <w:w w:val="100"/>
          <w:spacing w:val="0"/>
          <w:color w:val="000000"/>
          <w:position w:val="0"/>
        </w:rPr>
        <w:t xml:space="preserve"> Материалы по делу №06/4056-17 соответствующему должностному лицу Крымского УФАС России для рассмотрения вопроса о возбуждении дела об административном правонарушении не передавать, в виду передачи материалов дела №06/3990-17.</w:t>
      </w:r>
    </w:p>
    <w:p>
      <w:pPr>
        <w:pStyle w:val="Style7"/>
        <w:numPr>
          <w:ilvl w:val="0"/>
          <w:numId w:val="11"/>
        </w:numPr>
        <w:widowControl w:val="0"/>
        <w:keepNext w:val="0"/>
        <w:keepLines w:val="0"/>
        <w:shd w:val="clear" w:color="auto" w:fill="auto"/>
        <w:bidi w:val="0"/>
        <w:jc w:val="both"/>
        <w:spacing w:before="0" w:after="188" w:line="326" w:lineRule="exact"/>
        <w:ind w:left="0" w:right="0" w:firstLine="860"/>
      </w:pPr>
      <w:r>
        <w:rPr>
          <w:lang w:val="ru-RU" w:eastAsia="ru-RU" w:bidi="ru-RU"/>
          <w:w w:val="100"/>
          <w:spacing w:val="0"/>
          <w:color w:val="000000"/>
          <w:position w:val="0"/>
        </w:rPr>
        <w:t xml:space="preserve"> Прекратить действие уведомления о поступлении жалобы и приостановлении торгов от 23.10.2017 №06/12018.</w:t>
      </w:r>
    </w:p>
    <w:p>
      <w:pPr>
        <w:pStyle w:val="Style7"/>
        <w:widowControl w:val="0"/>
        <w:keepNext w:val="0"/>
        <w:keepLines w:val="0"/>
        <w:shd w:val="clear" w:color="auto" w:fill="auto"/>
        <w:bidi w:val="0"/>
        <w:jc w:val="both"/>
        <w:spacing w:before="0" w:after="343" w:line="317" w:lineRule="exact"/>
        <w:ind w:left="0" w:right="0" w:firstLine="860"/>
      </w:pPr>
      <w:r>
        <w:rPr>
          <w:lang w:val="ru-RU" w:eastAsia="ru-RU" w:bidi="ru-RU"/>
          <w:w w:val="100"/>
          <w:spacing w:val="0"/>
          <w:color w:val="000000"/>
          <w:position w:val="0"/>
        </w:rPr>
        <w:t>Настоящее решение может быть обжаловано в судебном порядке в течение трех месяцев со дня его принятия.</w:t>
      </w:r>
    </w:p>
    <w:p>
      <w:pPr>
        <w:pStyle w:val="Style7"/>
        <w:tabs>
          <w:tab w:leader="none" w:pos="8042" w:val="right"/>
          <w:tab w:leader="none" w:pos="8383" w:val="right"/>
          <w:tab w:leader="none" w:pos="9533" w:val="right"/>
        </w:tabs>
        <w:widowControl w:val="0"/>
        <w:keepNext w:val="0"/>
        <w:keepLines w:val="0"/>
        <w:shd w:val="clear" w:color="auto" w:fill="auto"/>
        <w:bidi w:val="0"/>
        <w:jc w:val="both"/>
        <w:spacing w:before="0" w:after="0" w:line="638" w:lineRule="exact"/>
        <w:ind w:left="0" w:right="0" w:firstLine="0"/>
      </w:pPr>
      <w:r>
        <w:rPr>
          <w:lang w:val="ru-RU" w:eastAsia="ru-RU" w:bidi="ru-RU"/>
          <w:w w:val="100"/>
          <w:spacing w:val="0"/>
          <w:color w:val="000000"/>
          <w:position w:val="0"/>
        </w:rPr>
        <w:t>Заместитель председателя Комиссии:</w:t>
        <w:tab/>
        <w:t>Н.</w:t>
        <w:tab/>
        <w:t>П.</w:t>
        <w:tab/>
        <w:t>Казакова</w:t>
      </w:r>
    </w:p>
    <w:p>
      <w:pPr>
        <w:pStyle w:val="Style7"/>
        <w:tabs>
          <w:tab w:leader="none" w:pos="8042" w:val="right"/>
          <w:tab w:leader="none" w:pos="8383" w:val="right"/>
          <w:tab w:leader="none" w:pos="9754" w:val="right"/>
        </w:tabs>
        <w:widowControl w:val="0"/>
        <w:keepNext w:val="0"/>
        <w:keepLines w:val="0"/>
        <w:shd w:val="clear" w:color="auto" w:fill="auto"/>
        <w:bidi w:val="0"/>
        <w:jc w:val="both"/>
        <w:spacing w:before="0" w:after="0" w:line="638" w:lineRule="exact"/>
        <w:ind w:left="0" w:right="0" w:firstLine="0"/>
      </w:pPr>
      <w:r>
        <w:rPr>
          <w:lang w:val="ru-RU" w:eastAsia="ru-RU" w:bidi="ru-RU"/>
          <w:w w:val="100"/>
          <w:spacing w:val="0"/>
          <w:color w:val="000000"/>
          <w:position w:val="0"/>
        </w:rPr>
        <w:t>Члены Комиссии:</w:t>
        <w:tab/>
        <w:t>О.</w:t>
        <w:tab/>
        <w:t>А.</w:t>
        <w:tab/>
        <w:t>Шалимова</w:t>
      </w:r>
    </w:p>
    <w:p>
      <w:pPr>
        <w:pStyle w:val="Style7"/>
        <w:widowControl w:val="0"/>
        <w:keepNext w:val="0"/>
        <w:keepLines w:val="0"/>
        <w:shd w:val="clear" w:color="auto" w:fill="auto"/>
        <w:bidi w:val="0"/>
        <w:jc w:val="left"/>
        <w:spacing w:before="0" w:after="0" w:line="260" w:lineRule="exact"/>
        <w:ind w:left="7800" w:right="0" w:firstLine="0"/>
      </w:pPr>
      <w:r>
        <w:rPr>
          <w:lang w:val="ru-RU" w:eastAsia="ru-RU" w:bidi="ru-RU"/>
          <w:w w:val="100"/>
          <w:spacing w:val="0"/>
          <w:color w:val="000000"/>
          <w:position w:val="0"/>
        </w:rPr>
        <w:t>Н. А. Баданин</w:t>
      </w:r>
    </w:p>
    <w:sectPr>
      <w:type w:val="continuous"/>
      <w:pgSz w:w="11906" w:h="16838"/>
      <w:pgMar w:top="1386" w:left="920" w:right="762" w:bottom="877"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1"/>
      <w:numFmt w:val="bullet"/>
      <w:lvlText w:val="-"/>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1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8">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sz w:val="23"/>
      <w:szCs w:val="23"/>
      <w:rFonts w:ascii="Times New Roman" w:eastAsia="Times New Roman" w:hAnsi="Times New Roman" w:cs="Times New Roman"/>
    </w:rPr>
  </w:style>
  <w:style w:type="character" w:customStyle="1" w:styleId="CharStyle6">
    <w:name w:val="Основной текст (3)_"/>
    <w:basedOn w:val="DefaultParagraphFont"/>
    <w:link w:val="Style5"/>
    <w:rPr>
      <w:b w:val="0"/>
      <w:bCs w:val="0"/>
      <w:i w:val="0"/>
      <w:iCs w:val="0"/>
      <w:u w:val="none"/>
      <w:strike w:val="0"/>
      <w:smallCaps w:val="0"/>
      <w:sz w:val="15"/>
      <w:szCs w:val="15"/>
      <w:rFonts w:ascii="Times New Roman" w:eastAsia="Times New Roman" w:hAnsi="Times New Roman" w:cs="Times New Roman"/>
    </w:rPr>
  </w:style>
  <w:style w:type="character" w:customStyle="1" w:styleId="CharStyle8">
    <w:name w:val="Основной текст_"/>
    <w:basedOn w:val="DefaultParagraphFont"/>
    <w:link w:val="Style7"/>
    <w:rPr>
      <w:b w:val="0"/>
      <w:bCs w:val="0"/>
      <w:i w:val="0"/>
      <w:iCs w:val="0"/>
      <w:u w:val="none"/>
      <w:strike w:val="0"/>
      <w:smallCaps w:val="0"/>
      <w:sz w:val="26"/>
      <w:szCs w:val="26"/>
      <w:rFonts w:ascii="Times New Roman" w:eastAsia="Times New Roman" w:hAnsi="Times New Roman" w:cs="Times New Roman"/>
    </w:rPr>
  </w:style>
  <w:style w:type="character" w:customStyle="1" w:styleId="CharStyle10">
    <w:name w:val="Основной текст (4)_"/>
    <w:basedOn w:val="DefaultParagraphFont"/>
    <w:link w:val="Style9"/>
    <w:rPr>
      <w:b/>
      <w:bCs/>
      <w:i w:val="0"/>
      <w:iCs w:val="0"/>
      <w:u w:val="none"/>
      <w:strike w:val="0"/>
      <w:smallCaps w:val="0"/>
      <w:sz w:val="26"/>
      <w:szCs w:val="26"/>
      <w:rFonts w:ascii="Times New Roman" w:eastAsia="Times New Roman" w:hAnsi="Times New Roman" w:cs="Times New Roman"/>
    </w:rPr>
  </w:style>
  <w:style w:type="character" w:customStyle="1" w:styleId="CharStyle11">
    <w:name w:val="Основной текст Exact"/>
    <w:basedOn w:val="DefaultParagraphFont"/>
    <w:rPr>
      <w:b w:val="0"/>
      <w:bCs w:val="0"/>
      <w:i w:val="0"/>
      <w:iCs w:val="0"/>
      <w:u w:val="none"/>
      <w:strike w:val="0"/>
      <w:smallCaps w:val="0"/>
      <w:rFonts w:ascii="Times New Roman" w:eastAsia="Times New Roman" w:hAnsi="Times New Roman" w:cs="Times New Roman"/>
      <w:spacing w:val="1"/>
    </w:rPr>
  </w:style>
  <w:style w:type="character" w:customStyle="1" w:styleId="CharStyle13">
    <w:name w:val="Основной текст (5) Exact"/>
    <w:basedOn w:val="DefaultParagraphFont"/>
    <w:rPr>
      <w:b/>
      <w:bCs/>
      <w:i w:val="0"/>
      <w:iCs w:val="0"/>
      <w:u w:val="none"/>
      <w:strike w:val="0"/>
      <w:smallCaps w:val="0"/>
      <w:sz w:val="17"/>
      <w:szCs w:val="17"/>
      <w:rFonts w:ascii="Times New Roman" w:eastAsia="Times New Roman" w:hAnsi="Times New Roman" w:cs="Times New Roman"/>
      <w:spacing w:val="-4"/>
    </w:rPr>
  </w:style>
  <w:style w:type="character" w:customStyle="1" w:styleId="CharStyle14">
    <w:name w:val="Основной текст"/>
    <w:basedOn w:val="CharStyle8"/>
    <w:rPr>
      <w:lang w:val="ru-RU" w:eastAsia="ru-RU" w:bidi="ru-RU"/>
      <w:w w:val="100"/>
      <w:spacing w:val="0"/>
      <w:color w:val="000000"/>
      <w:position w:val="0"/>
    </w:rPr>
  </w:style>
  <w:style w:type="character" w:customStyle="1" w:styleId="CharStyle15">
    <w:name w:val="Основной текст (5)_"/>
    <w:basedOn w:val="DefaultParagraphFont"/>
    <w:link w:val="Style12"/>
    <w:rPr>
      <w:b/>
      <w:bCs/>
      <w:i w:val="0"/>
      <w:iCs w:val="0"/>
      <w:u w:val="none"/>
      <w:strike w:val="0"/>
      <w:smallCaps w:val="0"/>
      <w:sz w:val="18"/>
      <w:szCs w:val="18"/>
      <w:rFonts w:ascii="Times New Roman" w:eastAsia="Times New Roman" w:hAnsi="Times New Roman" w:cs="Times New Roman"/>
    </w:rPr>
  </w:style>
  <w:style w:type="character" w:customStyle="1" w:styleId="CharStyle16">
    <w:name w:val="Основной текст (5) + 13 pt,Не полужирный"/>
    <w:basedOn w:val="CharStyle15"/>
    <w:rPr>
      <w:lang w:val="ru-RU" w:eastAsia="ru-RU" w:bidi="ru-RU"/>
      <w:b/>
      <w:bCs/>
      <w:sz w:val="26"/>
      <w:szCs w:val="26"/>
      <w:w w:val="100"/>
      <w:spacing w:val="0"/>
      <w:color w:val="000000"/>
      <w:position w:val="0"/>
    </w:rPr>
  </w:style>
  <w:style w:type="character" w:customStyle="1" w:styleId="CharStyle17">
    <w:name w:val="Основной текст (5)"/>
    <w:basedOn w:val="CharStyle15"/>
    <w:rPr>
      <w:lang w:val="ru-RU" w:eastAsia="ru-RU" w:bidi="ru-RU"/>
      <w:u w:val="single"/>
      <w:w w:val="100"/>
      <w:spacing w:val="0"/>
      <w:color w:val="000000"/>
      <w:position w:val="0"/>
    </w:rPr>
  </w:style>
  <w:style w:type="character" w:customStyle="1" w:styleId="CharStyle19">
    <w:name w:val="Подпись к таблице_"/>
    <w:basedOn w:val="DefaultParagraphFont"/>
    <w:link w:val="Style18"/>
    <w:rPr>
      <w:b w:val="0"/>
      <w:bCs w:val="0"/>
      <w:i w:val="0"/>
      <w:iCs w:val="0"/>
      <w:u w:val="none"/>
      <w:strike w:val="0"/>
      <w:smallCaps w:val="0"/>
      <w:sz w:val="26"/>
      <w:szCs w:val="26"/>
      <w:rFonts w:ascii="Times New Roman" w:eastAsia="Times New Roman" w:hAnsi="Times New Roman" w:cs="Times New Roman"/>
    </w:rPr>
  </w:style>
  <w:style w:type="character" w:customStyle="1" w:styleId="CharStyle20">
    <w:name w:val="Основной текст + 9 pt,Полужирный"/>
    <w:basedOn w:val="CharStyle8"/>
    <w:rPr>
      <w:lang w:val="ru-RU" w:eastAsia="ru-RU" w:bidi="ru-RU"/>
      <w:b/>
      <w:bCs/>
      <w:sz w:val="18"/>
      <w:szCs w:val="18"/>
      <w:w w:val="100"/>
      <w:spacing w:val="0"/>
      <w:color w:val="000000"/>
      <w:position w:val="0"/>
    </w:rPr>
  </w:style>
  <w:style w:type="character" w:customStyle="1" w:styleId="CharStyle21">
    <w:name w:val="Основной текст + Курсив"/>
    <w:basedOn w:val="CharStyle8"/>
    <w:rPr>
      <w:lang w:val="ru-RU" w:eastAsia="ru-RU" w:bidi="ru-RU"/>
      <w:i/>
      <w:iCs/>
      <w:w w:val="100"/>
      <w:spacing w:val="0"/>
      <w:color w:val="000000"/>
      <w:position w:val="0"/>
    </w:rPr>
  </w:style>
  <w:style w:type="paragraph" w:customStyle="1" w:styleId="Style3">
    <w:name w:val="Основной текст (2)"/>
    <w:basedOn w:val="Normal"/>
    <w:link w:val="CharStyle4"/>
    <w:pPr>
      <w:widowControl w:val="0"/>
      <w:shd w:val="clear" w:color="auto" w:fill="FFFFFF"/>
      <w:jc w:val="center"/>
      <w:spacing w:after="180" w:line="278" w:lineRule="exact"/>
    </w:pPr>
    <w:rPr>
      <w:b/>
      <w:bCs/>
      <w:i w:val="0"/>
      <w:iCs w:val="0"/>
      <w:u w:val="none"/>
      <w:strike w:val="0"/>
      <w:smallCaps w:val="0"/>
      <w:sz w:val="23"/>
      <w:szCs w:val="23"/>
      <w:rFonts w:ascii="Times New Roman" w:eastAsia="Times New Roman" w:hAnsi="Times New Roman" w:cs="Times New Roman"/>
    </w:rPr>
  </w:style>
  <w:style w:type="paragraph" w:customStyle="1" w:styleId="Style5">
    <w:name w:val="Основной текст (3)"/>
    <w:basedOn w:val="Normal"/>
    <w:link w:val="CharStyle6"/>
    <w:pPr>
      <w:widowControl w:val="0"/>
      <w:shd w:val="clear" w:color="auto" w:fill="FFFFFF"/>
      <w:jc w:val="center"/>
      <w:spacing w:after="300" w:line="182" w:lineRule="exact"/>
    </w:pPr>
    <w:rPr>
      <w:b w:val="0"/>
      <w:bCs w:val="0"/>
      <w:i w:val="0"/>
      <w:iCs w:val="0"/>
      <w:u w:val="none"/>
      <w:strike w:val="0"/>
      <w:smallCaps w:val="0"/>
      <w:sz w:val="15"/>
      <w:szCs w:val="15"/>
      <w:rFonts w:ascii="Times New Roman" w:eastAsia="Times New Roman" w:hAnsi="Times New Roman" w:cs="Times New Roman"/>
    </w:rPr>
  </w:style>
  <w:style w:type="paragraph" w:customStyle="1" w:styleId="Style7">
    <w:name w:val="Основной текст"/>
    <w:basedOn w:val="Normal"/>
    <w:link w:val="CharStyle8"/>
    <w:pPr>
      <w:widowControl w:val="0"/>
      <w:shd w:val="clear" w:color="auto" w:fill="FFFFFF"/>
      <w:spacing w:before="300" w:line="562"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9">
    <w:name w:val="Основной текст (4)"/>
    <w:basedOn w:val="Normal"/>
    <w:link w:val="CharStyle10"/>
    <w:pPr>
      <w:widowControl w:val="0"/>
      <w:shd w:val="clear" w:color="auto" w:fill="FFFFFF"/>
      <w:jc w:val="center"/>
      <w:spacing w:line="322" w:lineRule="exact"/>
    </w:pPr>
    <w:rPr>
      <w:b/>
      <w:bCs/>
      <w:i w:val="0"/>
      <w:iCs w:val="0"/>
      <w:u w:val="none"/>
      <w:strike w:val="0"/>
      <w:smallCaps w:val="0"/>
      <w:sz w:val="26"/>
      <w:szCs w:val="26"/>
      <w:rFonts w:ascii="Times New Roman" w:eastAsia="Times New Roman" w:hAnsi="Times New Roman" w:cs="Times New Roman"/>
    </w:rPr>
  </w:style>
  <w:style w:type="paragraph" w:customStyle="1" w:styleId="Style12">
    <w:name w:val="Основной текст (5)"/>
    <w:basedOn w:val="Normal"/>
    <w:link w:val="CharStyle15"/>
    <w:pPr>
      <w:widowControl w:val="0"/>
      <w:shd w:val="clear" w:color="auto" w:fill="FFFFFF"/>
      <w:jc w:val="both"/>
      <w:spacing w:after="180" w:line="230" w:lineRule="exact"/>
    </w:pPr>
    <w:rPr>
      <w:b/>
      <w:bCs/>
      <w:i w:val="0"/>
      <w:iCs w:val="0"/>
      <w:u w:val="none"/>
      <w:strike w:val="0"/>
      <w:smallCaps w:val="0"/>
      <w:sz w:val="18"/>
      <w:szCs w:val="18"/>
      <w:rFonts w:ascii="Times New Roman" w:eastAsia="Times New Roman" w:hAnsi="Times New Roman" w:cs="Times New Roman"/>
    </w:rPr>
  </w:style>
  <w:style w:type="paragraph" w:customStyle="1" w:styleId="Style18">
    <w:name w:val="Подпись к таблице"/>
    <w:basedOn w:val="Normal"/>
    <w:link w:val="CharStyle19"/>
    <w:pPr>
      <w:widowControl w:val="0"/>
      <w:shd w:val="clear" w:color="auto" w:fill="FFFFFF"/>
      <w:spacing w:line="0" w:lineRule="exact"/>
    </w:pPr>
    <w:rPr>
      <w:b w:val="0"/>
      <w:bCs w:val="0"/>
      <w:i w:val="0"/>
      <w:iCs w:val="0"/>
      <w:u w:val="none"/>
      <w:strike w:val="0"/>
      <w:smallCaps w:val="0"/>
      <w:sz w:val="26"/>
      <w:szCs w:val="26"/>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

<file path=docProps/core.xml><?xml version="1.0" encoding="utf-8"?>
<cp:coreProperties xmlns:cp="http://schemas.openxmlformats.org/package/2006/metadata/core-properties" xmlns:dc="http://purl.org/dc/elements/1.1/">
  <dc:title/>
  <dc:subject/>
  <dc:creator>to82-npkazakova</dc:creator>
  <cp:keywords/>
</cp:coreProperties>
</file>