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244" w:line="326" w:lineRule="exact"/>
        <w:ind w:left="4820" w:right="280" w:firstLine="0"/>
      </w:pPr>
      <w:r>
        <w:rPr>
          <w:lang w:val="ru-RU" w:eastAsia="ru-RU" w:bidi="ru-RU"/>
          <w:sz w:val="24"/>
          <w:szCs w:val="24"/>
          <w:w w:val="100"/>
          <w:spacing w:val="0"/>
          <w:color w:val="000000"/>
          <w:position w:val="0"/>
        </w:rPr>
        <w:t>Государственное казенное учреждение «Управление строительства Ленинградской области»</w:t>
      </w:r>
    </w:p>
    <w:p>
      <w:pPr>
        <w:pStyle w:val="Style3"/>
        <w:widowControl w:val="0"/>
        <w:keepNext w:val="0"/>
        <w:keepLines w:val="0"/>
        <w:shd w:val="clear" w:color="auto" w:fill="auto"/>
        <w:bidi w:val="0"/>
        <w:jc w:val="left"/>
        <w:spacing w:before="0" w:after="305" w:line="322" w:lineRule="exact"/>
        <w:ind w:left="4820" w:right="280" w:firstLine="0"/>
      </w:pPr>
      <w:r>
        <w:rPr>
          <w:lang w:val="ru-RU" w:eastAsia="ru-RU" w:bidi="ru-RU"/>
          <w:sz w:val="24"/>
          <w:szCs w:val="24"/>
          <w:w w:val="100"/>
          <w:spacing w:val="0"/>
          <w:color w:val="000000"/>
          <w:position w:val="0"/>
        </w:rPr>
        <w:t xml:space="preserve">ул. Некрасова, д. 14 г. Санкт-Петербург, 191104 тел.: (812) 5798909 </w:t>
      </w:r>
      <w:r>
        <w:rPr>
          <w:lang w:val="en-US" w:eastAsia="en-US" w:bidi="en-US"/>
          <w:sz w:val="24"/>
          <w:szCs w:val="24"/>
          <w:w w:val="100"/>
          <w:spacing w:val="0"/>
          <w:color w:val="000000"/>
          <w:position w:val="0"/>
        </w:rPr>
        <w:t xml:space="preserve">e-mail: </w:t>
      </w:r>
      <w:r>
        <w:fldChar w:fldCharType="begin"/>
      </w:r>
      <w:r>
        <w:rPr>
          <w:color w:val="000000"/>
        </w:rPr>
        <w:instrText> HYPERLINK "mailto:guuslo.lenobl@mail.ru" </w:instrText>
      </w:r>
      <w:r>
        <w:fldChar w:fldCharType="separate"/>
      </w:r>
      <w:r>
        <w:rPr>
          <w:rStyle w:val="Hyperlink"/>
          <w:lang w:val="en-US" w:eastAsia="en-US" w:bidi="en-US"/>
          <w:sz w:val="24"/>
          <w:szCs w:val="24"/>
          <w:w w:val="100"/>
          <w:spacing w:val="0"/>
          <w:position w:val="0"/>
        </w:rPr>
        <w:t>guuslo.lenobl@mail.ru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"mailto:opkd.gkuuslo@yandex.ru" </w:instrText>
      </w:r>
      <w:r>
        <w:fldChar w:fldCharType="separate"/>
      </w:r>
      <w:r>
        <w:rPr>
          <w:rStyle w:val="Hyperlink"/>
          <w:lang w:val="en-US" w:eastAsia="en-US" w:bidi="en-US"/>
          <w:sz w:val="24"/>
          <w:szCs w:val="24"/>
          <w:w w:val="100"/>
          <w:spacing w:val="0"/>
          <w:position w:val="0"/>
        </w:rPr>
        <w:t>opkd.gkuuslo@yandex.ru</w:t>
      </w:r>
      <w:r>
        <w:fldChar w:fldCharType="end"/>
      </w:r>
    </w:p>
    <w:p>
      <w:pPr>
        <w:pStyle w:val="Style3"/>
        <w:widowControl w:val="0"/>
        <w:keepNext w:val="0"/>
        <w:keepLines w:val="0"/>
        <w:shd w:val="clear" w:color="auto" w:fill="auto"/>
        <w:bidi w:val="0"/>
        <w:jc w:val="left"/>
        <w:spacing w:before="0" w:after="26" w:line="240" w:lineRule="exact"/>
        <w:ind w:left="482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251" w:line="240" w:lineRule="exact"/>
        <w:ind w:left="4820" w:right="0" w:firstLine="0"/>
      </w:pPr>
      <w:r>
        <w:rPr>
          <w:lang w:val="ru-RU" w:eastAsia="ru-RU" w:bidi="ru-RU"/>
          <w:sz w:val="24"/>
          <w:szCs w:val="24"/>
          <w:w w:val="100"/>
          <w:spacing w:val="0"/>
          <w:color w:val="000000"/>
          <w:position w:val="0"/>
        </w:rPr>
        <w:t>ООО «Фарм-Инвест»</w:t>
      </w:r>
    </w:p>
    <w:p>
      <w:pPr>
        <w:pStyle w:val="Style3"/>
        <w:widowControl w:val="0"/>
        <w:keepNext w:val="0"/>
        <w:keepLines w:val="0"/>
        <w:shd w:val="clear" w:color="auto" w:fill="auto"/>
        <w:bidi w:val="0"/>
        <w:jc w:val="left"/>
        <w:spacing w:before="0" w:after="0" w:line="317" w:lineRule="exact"/>
        <w:ind w:left="4820" w:right="0" w:firstLine="0"/>
      </w:pPr>
      <w:r>
        <w:rPr>
          <w:lang w:val="ru-RU" w:eastAsia="ru-RU" w:bidi="ru-RU"/>
          <w:sz w:val="24"/>
          <w:szCs w:val="24"/>
          <w:w w:val="100"/>
          <w:spacing w:val="0"/>
          <w:color w:val="000000"/>
          <w:position w:val="0"/>
        </w:rPr>
        <w:t>проезд Тушинский 3-й, д. 2, оф. 6,</w:t>
      </w:r>
    </w:p>
    <w:p>
      <w:pPr>
        <w:pStyle w:val="Style3"/>
        <w:widowControl w:val="0"/>
        <w:keepNext w:val="0"/>
        <w:keepLines w:val="0"/>
        <w:shd w:val="clear" w:color="auto" w:fill="auto"/>
        <w:bidi w:val="0"/>
        <w:jc w:val="left"/>
        <w:spacing w:before="0" w:after="302" w:line="317" w:lineRule="exact"/>
        <w:ind w:left="4820" w:right="280" w:firstLine="0"/>
      </w:pPr>
      <w:r>
        <w:rPr>
          <w:lang w:val="ru-RU" w:eastAsia="ru-RU" w:bidi="ru-RU"/>
          <w:sz w:val="24"/>
          <w:szCs w:val="24"/>
          <w:w w:val="100"/>
          <w:spacing w:val="0"/>
          <w:color w:val="000000"/>
          <w:position w:val="0"/>
        </w:rPr>
        <w:t xml:space="preserve">Москва, 125371 тел.: (495) 2340392 </w:t>
      </w:r>
      <w:r>
        <w:rPr>
          <w:lang w:val="en-US" w:eastAsia="en-US" w:bidi="en-US"/>
          <w:sz w:val="24"/>
          <w:szCs w:val="24"/>
          <w:w w:val="100"/>
          <w:spacing w:val="0"/>
          <w:color w:val="000000"/>
          <w:position w:val="0"/>
        </w:rPr>
        <w:t xml:space="preserve">e-mail: </w:t>
      </w:r>
      <w:r>
        <w:fldChar w:fldCharType="begin"/>
      </w:r>
      <w:r>
        <w:rPr>
          <w:color w:val="000000"/>
        </w:rPr>
        <w:instrText> HYPERLINK "mailto:farm@farm-invest.ru" </w:instrText>
      </w:r>
      <w:r>
        <w:fldChar w:fldCharType="separate"/>
      </w:r>
      <w:r>
        <w:rPr>
          <w:rStyle w:val="Hyperlink"/>
          <w:lang w:val="en-US" w:eastAsia="en-US" w:bidi="en-US"/>
          <w:sz w:val="24"/>
          <w:szCs w:val="24"/>
          <w:w w:val="100"/>
          <w:spacing w:val="0"/>
          <w:position w:val="0"/>
        </w:rPr>
        <w:t>farm@farm-invest.ru</w:t>
      </w:r>
      <w:r>
        <w:fldChar w:fldCharType="end"/>
      </w:r>
    </w:p>
    <w:p>
      <w:pPr>
        <w:pStyle w:val="Style3"/>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5"/>
        <w:widowControl w:val="0"/>
        <w:keepNext/>
        <w:keepLines/>
        <w:shd w:val="clear" w:color="auto" w:fill="auto"/>
        <w:bidi w:val="0"/>
        <w:jc w:val="left"/>
        <w:spacing w:before="0" w:after="0" w:line="380" w:lineRule="exact"/>
        <w:ind w:left="4820" w:right="0" w:firstLine="0"/>
      </w:pPr>
      <w:bookmarkStart w:id="0" w:name="bookmark0"/>
      <w:r>
        <w:rPr>
          <w:lang w:val="ru-RU" w:eastAsia="ru-RU" w:bidi="ru-RU"/>
          <w:w w:val="100"/>
          <w:spacing w:val="0"/>
          <w:color w:val="000000"/>
          <w:position w:val="0"/>
        </w:rPr>
        <w:t>этп нэп</w:t>
      </w:r>
      <w:bookmarkEnd w:id="0"/>
    </w:p>
    <w:p>
      <w:pPr>
        <w:pStyle w:val="Style3"/>
        <w:widowControl w:val="0"/>
        <w:keepNext w:val="0"/>
        <w:keepLines w:val="0"/>
        <w:shd w:val="clear" w:color="auto" w:fill="auto"/>
        <w:bidi w:val="0"/>
        <w:jc w:val="left"/>
        <w:spacing w:before="0" w:after="305" w:line="322" w:lineRule="exact"/>
        <w:ind w:left="4820" w:right="280" w:firstLine="0"/>
      </w:pPr>
      <w:r>
        <w:rPr>
          <w:lang w:val="ru-RU" w:eastAsia="ru-RU" w:bidi="ru-RU"/>
          <w:sz w:val="24"/>
          <w:szCs w:val="24"/>
          <w:w w:val="100"/>
          <w:spacing w:val="0"/>
          <w:color w:val="000000"/>
          <w:position w:val="0"/>
        </w:rPr>
        <w:t xml:space="preserve">тел.: (911)9991944 </w:t>
      </w:r>
      <w:r>
        <w:rPr>
          <w:lang w:val="en-US" w:eastAsia="en-US" w:bidi="en-US"/>
          <w:sz w:val="24"/>
          <w:szCs w:val="24"/>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3"/>
        <w:widowControl w:val="0"/>
        <w:keepNext w:val="0"/>
        <w:keepLines w:val="0"/>
        <w:shd w:val="clear" w:color="auto" w:fill="auto"/>
        <w:bidi w:val="0"/>
        <w:jc w:val="left"/>
        <w:spacing w:before="0" w:after="238" w:line="240" w:lineRule="exact"/>
        <w:ind w:left="4820" w:right="0" w:firstLine="0"/>
      </w:pPr>
      <w:r>
        <w:rPr>
          <w:lang w:val="ru-RU" w:eastAsia="ru-RU" w:bidi="ru-RU"/>
          <w:sz w:val="24"/>
          <w:szCs w:val="24"/>
          <w:w w:val="100"/>
          <w:spacing w:val="0"/>
          <w:color w:val="000000"/>
          <w:position w:val="0"/>
        </w:rPr>
        <w:t>извещение № 0345200002217000031</w:t>
      </w:r>
    </w:p>
    <w:p>
      <w:pPr>
        <w:pStyle w:val="Style3"/>
        <w:widowControl w:val="0"/>
        <w:keepNext w:val="0"/>
        <w:keepLines w:val="0"/>
        <w:shd w:val="clear" w:color="auto" w:fill="auto"/>
        <w:bidi w:val="0"/>
        <w:jc w:val="center"/>
        <w:spacing w:before="0" w:after="309" w:line="326" w:lineRule="exact"/>
        <w:ind w:left="44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1323-03-9819-РЗ/17</w:t>
      </w:r>
    </w:p>
    <w:p>
      <w:pPr>
        <w:pStyle w:val="Style3"/>
        <w:tabs>
          <w:tab w:leader="none" w:pos="9715" w:val="right"/>
        </w:tabs>
        <w:widowControl w:val="0"/>
        <w:keepNext w:val="0"/>
        <w:keepLines w:val="0"/>
        <w:shd w:val="clear" w:color="auto" w:fill="auto"/>
        <w:bidi w:val="0"/>
        <w:jc w:val="both"/>
        <w:spacing w:before="0" w:after="247" w:line="240" w:lineRule="exact"/>
        <w:ind w:left="0" w:right="0" w:firstLine="0"/>
      </w:pPr>
      <w:r>
        <w:rPr>
          <w:lang w:val="ru-RU" w:eastAsia="ru-RU" w:bidi="ru-RU"/>
          <w:sz w:val="24"/>
          <w:szCs w:val="24"/>
          <w:w w:val="100"/>
          <w:spacing w:val="0"/>
          <w:color w:val="000000"/>
          <w:position w:val="0"/>
        </w:rPr>
        <w:t>30 октября 2017 года</w:t>
        <w:tab/>
        <w:t>Санкт-Петербург</w:t>
      </w:r>
    </w:p>
    <w:p>
      <w:pPr>
        <w:pStyle w:val="Style3"/>
        <w:widowControl w:val="0"/>
        <w:keepNext w:val="0"/>
        <w:keepLines w:val="0"/>
        <w:shd w:val="clear" w:color="auto" w:fill="auto"/>
        <w:bidi w:val="0"/>
        <w:jc w:val="left"/>
        <w:spacing w:before="0" w:after="0" w:line="322" w:lineRule="exact"/>
        <w:ind w:left="0" w:right="42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0" w:line="322" w:lineRule="exact"/>
        <w:ind w:left="0" w:right="42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3"/>
        <w:widowControl w:val="0"/>
        <w:keepNext w:val="0"/>
        <w:keepLines w:val="0"/>
        <w:shd w:val="clear" w:color="auto" w:fill="auto"/>
        <w:bidi w:val="0"/>
        <w:jc w:val="left"/>
        <w:spacing w:before="0" w:after="0" w:line="322" w:lineRule="exact"/>
        <w:ind w:left="0" w:right="420" w:firstLine="700"/>
      </w:pPr>
      <w:r>
        <w:rPr>
          <w:lang w:val="ru-RU" w:eastAsia="ru-RU" w:bidi="ru-RU"/>
          <w:sz w:val="24"/>
          <w:szCs w:val="24"/>
          <w:w w:val="100"/>
          <w:spacing w:val="0"/>
          <w:color w:val="000000"/>
          <w:position w:val="0"/>
        </w:rPr>
        <w:t>Хрущ Виктории Дановны - врио начальника отдела контроля закупок, члена Комиссии,</w:t>
      </w:r>
    </w:p>
    <w:p>
      <w:pPr>
        <w:pStyle w:val="Style3"/>
        <w:widowControl w:val="0"/>
        <w:keepNext w:val="0"/>
        <w:keepLines w:val="0"/>
        <w:shd w:val="clear" w:color="auto" w:fill="auto"/>
        <w:bidi w:val="0"/>
        <w:jc w:val="left"/>
        <w:spacing w:before="0" w:after="0" w:line="322" w:lineRule="exact"/>
        <w:ind w:left="0" w:right="42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3"/>
        <w:widowControl w:val="0"/>
        <w:keepNext w:val="0"/>
        <w:keepLines w:val="0"/>
        <w:shd w:val="clear" w:color="auto" w:fill="auto"/>
        <w:bidi w:val="0"/>
        <w:jc w:val="left"/>
        <w:spacing w:before="0" w:after="0" w:line="322" w:lineRule="exact"/>
        <w:ind w:left="0" w:right="0" w:firstLine="700"/>
      </w:pPr>
      <w:r>
        <w:rPr>
          <w:lang w:val="ru-RU" w:eastAsia="ru-RU" w:bidi="ru-RU"/>
          <w:sz w:val="24"/>
          <w:szCs w:val="24"/>
          <w:w w:val="100"/>
          <w:spacing w:val="0"/>
          <w:color w:val="000000"/>
          <w:position w:val="0"/>
        </w:rPr>
        <w:t>с участием в заседании представителя по доверенности:</w:t>
      </w:r>
    </w:p>
    <w:p>
      <w:pPr>
        <w:pStyle w:val="Style3"/>
        <w:widowControl w:val="0"/>
        <w:keepNext w:val="0"/>
        <w:keepLines w:val="0"/>
        <w:shd w:val="clear" w:color="auto" w:fill="auto"/>
        <w:bidi w:val="0"/>
        <w:jc w:val="left"/>
        <w:spacing w:before="0" w:after="313" w:line="322" w:lineRule="exact"/>
        <w:ind w:left="0" w:right="0" w:firstLine="700"/>
      </w:pPr>
      <w:r>
        <w:rPr>
          <w:lang w:val="ru-RU" w:eastAsia="ru-RU" w:bidi="ru-RU"/>
          <w:sz w:val="24"/>
          <w:szCs w:val="24"/>
          <w:w w:val="100"/>
          <w:spacing w:val="0"/>
          <w:color w:val="000000"/>
          <w:position w:val="0"/>
        </w:rPr>
        <w:t>Государственного казенного учреждения «Управление строительства</w:t>
      </w:r>
    </w:p>
    <w:p>
      <w:pPr>
        <w:pStyle w:val="Style7"/>
        <w:widowControl w:val="0"/>
        <w:keepNext/>
        <w:keepLines/>
        <w:shd w:val="clear" w:color="auto" w:fill="auto"/>
        <w:bidi w:val="0"/>
        <w:spacing w:before="0" w:after="0" w:line="380" w:lineRule="exact"/>
        <w:ind w:left="0" w:right="420" w:firstLine="0"/>
      </w:pPr>
      <w:bookmarkStart w:id="1" w:name="bookmark1"/>
      <w:r>
        <w:rPr>
          <w:lang w:val="ru-RU" w:eastAsia="ru-RU" w:bidi="ru-RU"/>
          <w:w w:val="100"/>
          <w:color w:val="000000"/>
          <w:position w:val="0"/>
        </w:rPr>
        <w:t>078848</w:t>
      </w:r>
      <w:bookmarkEnd w:id="1"/>
    </w:p>
    <w:p>
      <w:pPr>
        <w:pStyle w:val="Style9"/>
        <w:widowControl w:val="0"/>
        <w:keepNext w:val="0"/>
        <w:keepLines w:val="0"/>
        <w:shd w:val="clear" w:color="auto" w:fill="auto"/>
        <w:bidi w:val="0"/>
        <w:spacing w:before="0" w:after="0"/>
        <w:ind w:left="0" w:right="0" w:firstLine="0"/>
      </w:pPr>
      <w:bookmarkStart w:id="2" w:name="bookmark2"/>
      <w:r>
        <w:rPr>
          <w:lang w:val="ru-RU" w:eastAsia="ru-RU" w:bidi="ru-RU"/>
          <w:sz w:val="24"/>
          <w:szCs w:val="24"/>
          <w:w w:val="100"/>
          <w:spacing w:val="0"/>
          <w:color w:val="000000"/>
          <w:position w:val="0"/>
        </w:rPr>
        <w:t>Ленинградской области» (далее - Заказчик): Меньшова Владимира Анатольевича,</w:t>
      </w:r>
      <w:bookmarkEnd w:id="2"/>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sz w:val="24"/>
          <w:szCs w:val="24"/>
          <w:w w:val="100"/>
          <w:spacing w:val="0"/>
          <w:color w:val="000000"/>
          <w:position w:val="0"/>
        </w:rPr>
        <w:t>в отсутствие представителей ООО «Фарм-Инвест» (далее - Заявитель, Общество), уведомленных о времени и месте рассмотрения жалобы надлежащим образом,</w:t>
      </w:r>
    </w:p>
    <w:p>
      <w:pPr>
        <w:pStyle w:val="Style3"/>
        <w:widowControl w:val="0"/>
        <w:keepNext w:val="0"/>
        <w:keepLines w:val="0"/>
        <w:shd w:val="clear" w:color="auto" w:fill="auto"/>
        <w:bidi w:val="0"/>
        <w:jc w:val="both"/>
        <w:spacing w:before="0" w:after="365" w:line="322" w:lineRule="exact"/>
        <w:ind w:left="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301" w:line="240" w:lineRule="exact"/>
        <w:ind w:left="0" w:right="0" w:firstLine="0"/>
      </w:pPr>
      <w:r>
        <w:rPr>
          <w:lang w:val="ru-RU" w:eastAsia="ru-RU" w:bidi="ru-RU"/>
          <w:sz w:val="24"/>
          <w:szCs w:val="24"/>
          <w:w w:val="100"/>
          <w:spacing w:val="0"/>
          <w:color w:val="000000"/>
          <w:position w:val="0"/>
        </w:rPr>
        <w:t>УСТАНОВИЛА:</w:t>
      </w:r>
    </w:p>
    <w:p>
      <w:pPr>
        <w:pStyle w:val="Style3"/>
        <w:tabs>
          <w:tab w:leader="none" w:pos="6725" w:val="left"/>
        </w:tabs>
        <w:widowControl w:val="0"/>
        <w:keepNext w:val="0"/>
        <w:keepLines w:val="0"/>
        <w:shd w:val="clear" w:color="auto" w:fill="auto"/>
        <w:bidi w:val="0"/>
        <w:jc w:val="both"/>
        <w:spacing w:before="0" w:after="0" w:line="317" w:lineRule="exact"/>
        <w:ind w:left="0" w:right="20" w:firstLine="700"/>
      </w:pPr>
      <w:r>
        <w:rPr>
          <w:lang w:val="ru-RU" w:eastAsia="ru-RU" w:bidi="ru-RU"/>
          <w:sz w:val="24"/>
          <w:szCs w:val="24"/>
          <w:w w:val="100"/>
          <w:spacing w:val="0"/>
          <w:color w:val="000000"/>
          <w:position w:val="0"/>
        </w:rPr>
        <w:t>В Ленинградское УФАС России поступила жалоба Заявителя (вх. № 8416 от 23.10.2017) на действия аукционной комиссии при проведении электронного аукциона на право заключения контракта на поставку холодильников фармацевтических на объект:</w:t>
        <w:tab/>
        <w:t>"Строительство детской</w:t>
      </w:r>
    </w:p>
    <w:p>
      <w:pPr>
        <w:pStyle w:val="Style3"/>
        <w:widowControl w:val="0"/>
        <w:keepNext w:val="0"/>
        <w:keepLines w:val="0"/>
        <w:shd w:val="clear" w:color="auto" w:fill="auto"/>
        <w:bidi w:val="0"/>
        <w:jc w:val="left"/>
        <w:spacing w:before="0" w:after="0" w:line="317" w:lineRule="exact"/>
        <w:ind w:left="0" w:right="0" w:firstLine="0"/>
      </w:pPr>
      <w:r>
        <w:rPr>
          <w:lang w:val="ru-RU" w:eastAsia="ru-RU" w:bidi="ru-RU"/>
          <w:sz w:val="24"/>
          <w:szCs w:val="24"/>
          <w:w w:val="100"/>
          <w:spacing w:val="0"/>
          <w:color w:val="000000"/>
          <w:position w:val="0"/>
        </w:rPr>
        <w:t>поликлиники на 600 пос. в смену в г. Всеволожск" (далее - аукцион).</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sz w:val="24"/>
          <w:szCs w:val="24"/>
          <w:w w:val="100"/>
          <w:spacing w:val="0"/>
          <w:color w:val="000000"/>
          <w:position w:val="0"/>
        </w:rPr>
        <w:t xml:space="preserve">Извещение о проведении электронного аукциона, аукционная документация размещены Заказчиком 09.10.2017 на официальном сайте Российской Федерации в единой информационной системе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0" w:right="0" w:firstLine="700"/>
      </w:pPr>
      <w:r>
        <w:rPr>
          <w:lang w:val="ru-RU" w:eastAsia="ru-RU" w:bidi="ru-RU"/>
          <w:sz w:val="24"/>
          <w:szCs w:val="24"/>
          <w:w w:val="100"/>
          <w:spacing w:val="0"/>
          <w:color w:val="000000"/>
          <w:position w:val="0"/>
        </w:rPr>
        <w:t>Начальная (максимальная) цена контракта 839 466,72 рублей.</w:t>
      </w:r>
    </w:p>
    <w:p>
      <w:pPr>
        <w:pStyle w:val="Style3"/>
        <w:widowControl w:val="0"/>
        <w:keepNext w:val="0"/>
        <w:keepLines w:val="0"/>
        <w:shd w:val="clear" w:color="auto" w:fill="auto"/>
        <w:bidi w:val="0"/>
        <w:jc w:val="both"/>
        <w:spacing w:before="0" w:after="0" w:line="317" w:lineRule="exact"/>
        <w:ind w:left="0" w:right="0" w:firstLine="700"/>
      </w:pPr>
      <w:r>
        <w:rPr>
          <w:lang w:val="ru-RU" w:eastAsia="ru-RU" w:bidi="ru-RU"/>
          <w:sz w:val="24"/>
          <w:szCs w:val="24"/>
          <w:w w:val="100"/>
          <w:spacing w:val="0"/>
          <w:color w:val="000000"/>
          <w:position w:val="0"/>
        </w:rPr>
        <w:t>Источник финансирования - Областной бюджет Ленинградской области.</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sz w:val="24"/>
          <w:szCs w:val="24"/>
          <w:w w:val="100"/>
          <w:spacing w:val="0"/>
          <w:color w:val="000000"/>
          <w:position w:val="0"/>
        </w:rPr>
        <w:t>Заявитель обжалует отклонение первой части заявки на основании п . 2 ч. 4 ст. 67 Закона о контрактной системе. Подробно позиция Заявителя изложена в жалобе, файл с которой размещен на официальном сайте.</w:t>
      </w:r>
    </w:p>
    <w:p>
      <w:pPr>
        <w:pStyle w:val="Style3"/>
        <w:widowControl w:val="0"/>
        <w:keepNext w:val="0"/>
        <w:keepLines w:val="0"/>
        <w:shd w:val="clear" w:color="auto" w:fill="auto"/>
        <w:bidi w:val="0"/>
        <w:jc w:val="both"/>
        <w:spacing w:before="0" w:after="0" w:line="317" w:lineRule="exact"/>
        <w:ind w:left="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sz w:val="24"/>
          <w:szCs w:val="24"/>
          <w:w w:val="100"/>
          <w:spacing w:val="0"/>
          <w:color w:val="000000"/>
          <w:position w:val="0"/>
        </w:rPr>
        <w:t>Рассмотрев представленные документы, Комиссия пришла к следующим выводам.</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spacing w:val="0"/>
          <w:color w:val="000000"/>
          <w:position w:val="0"/>
        </w:rPr>
        <w:t>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 1 ст. 2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Частью 2 ст. 66 Закона о контрактной системе определено, что заявка на участие в электронном аукционе состоит из двух частей.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силу пп. б п. 1 ч. 3 рассматриваемой статьи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Аналогичные требования установлены Заказчиком в п. 10.2 аукционной документации.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Частью 6 рассматриваемой статьи определено, что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соответствии с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 4 настоящей статьи.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 xml:space="preserve"> непредоставления информации, предусмотренной ч. 3 ст. 66 Закона о контрактной системе, или предоставления недостоверной информации;</w:t>
      </w:r>
    </w:p>
    <w:p>
      <w:pPr>
        <w:pStyle w:val="Style3"/>
        <w:numPr>
          <w:ilvl w:val="0"/>
          <w:numId w:val="1"/>
        </w:numPr>
        <w:widowControl w:val="0"/>
        <w:keepNext w:val="0"/>
        <w:keepLines w:val="0"/>
        <w:shd w:val="clear" w:color="auto" w:fill="auto"/>
        <w:bidi w:val="0"/>
        <w:jc w:val="both"/>
        <w:spacing w:before="0" w:after="0" w:line="346" w:lineRule="exact"/>
        <w:ind w:left="20" w:right="20" w:firstLine="700"/>
      </w:pPr>
      <w:r>
        <w:rPr>
          <w:lang w:val="ru-RU" w:eastAsia="ru-RU" w:bidi="ru-RU"/>
          <w:sz w:val="24"/>
          <w:szCs w:val="24"/>
          <w:w w:val="100"/>
          <w:spacing w:val="0"/>
          <w:color w:val="000000"/>
          <w:position w:val="0"/>
        </w:rPr>
        <w:t xml:space="preserve"> несоответствия информации, предусмотренной ч. 3 ст. 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0" w:line="312" w:lineRule="exact"/>
        <w:ind w:left="20" w:right="20" w:firstLine="700"/>
      </w:pPr>
      <w:r>
        <w:rPr>
          <w:lang w:val="ru-RU" w:eastAsia="ru-RU" w:bidi="ru-RU"/>
          <w:sz w:val="24"/>
          <w:szCs w:val="24"/>
          <w:w w:val="100"/>
          <w:spacing w:val="0"/>
          <w:color w:val="000000"/>
          <w:position w:val="0"/>
        </w:rPr>
        <w:t>Частью 5 вышеуказанной статьи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3"/>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Из протокола рассмотрения заявок на участие в электронном аукционе от от 19.10.2017 №0345200002217000031-1-1 усматривается, что Заявителю отказано в допуске к участию в аукционе на основании п. 2 ч. 4 ст. 67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Техническим заданием установлены требования к товарам, необходимым к поставке.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Так, например, по позиции № 1 ««Холодильник тип 1» Заказчиком установлено требование «Потребляемая мощность — не больше 250 Вт.».</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Заявителем в первой части заявки предложен товар № 1 с таким значением показателя товара: «Потребляемая мощность — 250 Вт.», что, по мнению аукционной комиссии, не соответствует требованиям аукционной документации.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инструкции по заполнению первой части заявки при описании требований для которых установлено максимальное и (или) минимальное значение Заказчиком использованы следующие слова (словосочетания): «менее ...», «не менее ... и не более ...», «не более ...», «более ... и менее ...», «&gt; ...», «не менее ... и менее ...», «не меньше ... и не больше ...», «от ... и до ...». В этих случаях участник предоставляет соответствующее значение без использования вышеуказанных слов, при этом параметры, приведенные со словом «от» и «до» следует понимать включительно.</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При описании требований, которые определяются диапазоном значений, Заказчиком использованы следующие слова (словосочетания): «не меньше ... - не больше ...», «не менее ... - не более ...». В этих случаях участник предоставляет соответствующее значение диапазона без использования вышеуказанных слов.</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При установлении значений показателей с использованием предлога «до»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уменьшения (согласно правилам математического сравнения).</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Исходя из вышеизложенного положения инструкции значение показателя, при описании которого Заказчиком использовано словосочетание «не больше» к максимальному не относится.</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Комиссия, проанализировав указанное значение, относит его к неизменяемому, поскольку требование, установленное к спорному значению не описано инструкцией, следовательно, относится ко «всем иным случаям».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инструкции по заполнению первой части заявки во всех других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Технического задания..</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Таким образом, Комиссия Ленинградского УФАС приходит к выводу, что у аукционной комиссии имелись основания для отклонения первой части заявки Общества в соответствии с п. 2 ч. 4 ст. 67 Закона о контрактной системе.</w:t>
      </w:r>
    </w:p>
    <w:p>
      <w:pPr>
        <w:pStyle w:val="Style9"/>
        <w:widowControl w:val="0"/>
        <w:keepNext w:val="0"/>
        <w:keepLines w:val="0"/>
        <w:shd w:val="clear" w:color="auto" w:fill="auto"/>
        <w:bidi w:val="0"/>
        <w:jc w:val="left"/>
        <w:spacing w:before="0" w:after="305"/>
        <w:ind w:left="20" w:right="300" w:firstLine="700"/>
      </w:pPr>
      <w:bookmarkStart w:id="3" w:name="bookmark3"/>
      <w:r>
        <w:rPr>
          <w:lang w:val="ru-RU" w:eastAsia="ru-RU" w:bidi="ru-RU"/>
          <w:sz w:val="24"/>
          <w:szCs w:val="24"/>
          <w:w w:val="100"/>
          <w:spacing w:val="0"/>
          <w:color w:val="000000"/>
          <w:position w:val="0"/>
        </w:rPr>
        <w:t xml:space="preserve">На основании изложенного и руководствуясь ч. 8 ст. 106 </w:t>
      </w:r>
      <w:r>
        <w:rPr>
          <w:rStyle w:val="CharStyle11"/>
        </w:rPr>
        <w:t>Закона о контрактной системе, Комиссия</w:t>
      </w:r>
      <w:bookmarkEnd w:id="3"/>
    </w:p>
    <w:p>
      <w:pPr>
        <w:pStyle w:val="Style3"/>
        <w:widowControl w:val="0"/>
        <w:keepNext w:val="0"/>
        <w:keepLines w:val="0"/>
        <w:shd w:val="clear" w:color="auto" w:fill="auto"/>
        <w:bidi w:val="0"/>
        <w:jc w:val="center"/>
        <w:spacing w:before="0" w:after="317" w:line="240" w:lineRule="exact"/>
        <w:ind w:left="0" w:right="36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center"/>
        <w:spacing w:before="0" w:after="617" w:line="240" w:lineRule="exact"/>
        <w:ind w:left="280" w:right="0" w:firstLine="0"/>
      </w:pPr>
      <w:r>
        <w:rPr>
          <w:lang w:val="ru-RU" w:eastAsia="ru-RU" w:bidi="ru-RU"/>
          <w:sz w:val="24"/>
          <w:szCs w:val="24"/>
          <w:w w:val="100"/>
          <w:spacing w:val="0"/>
          <w:color w:val="000000"/>
          <w:position w:val="0"/>
        </w:rPr>
        <w:t>Признать жалобу ООО «Фарм-Инвест» необоснованной.</w:t>
      </w:r>
    </w:p>
    <w:p>
      <w:pPr>
        <w:pStyle w:val="Style12"/>
        <w:widowControl w:val="0"/>
        <w:keepNext w:val="0"/>
        <w:keepLines w:val="0"/>
        <w:shd w:val="clear" w:color="auto" w:fill="auto"/>
        <w:bidi w:val="0"/>
        <w:jc w:val="left"/>
        <w:spacing w:before="0" w:after="0"/>
        <w:ind w:left="20" w:right="3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3"/>
        <w:tabs>
          <w:tab w:leader="none" w:pos="7390" w:val="left"/>
        </w:tabs>
        <w:widowControl w:val="0"/>
        <w:keepNext w:val="0"/>
        <w:keepLines w:val="0"/>
        <w:shd w:val="clear" w:color="auto" w:fill="auto"/>
        <w:bidi w:val="0"/>
        <w:jc w:val="both"/>
        <w:spacing w:before="0" w:after="0" w:line="960" w:lineRule="exact"/>
        <w:ind w:left="20" w:right="0" w:firstLine="0"/>
      </w:pPr>
      <w:r>
        <w:rPr>
          <w:lang w:val="ru-RU" w:eastAsia="ru-RU" w:bidi="ru-RU"/>
          <w:sz w:val="24"/>
          <w:szCs w:val="24"/>
          <w:w w:val="100"/>
          <w:spacing w:val="0"/>
          <w:color w:val="000000"/>
          <w:position w:val="0"/>
        </w:rPr>
        <w:t>Председатель Комиссии</w:t>
        <w:tab/>
        <w:t>А.А. Журавлев</w:t>
      </w:r>
    </w:p>
    <w:p>
      <w:pPr>
        <w:pStyle w:val="Style3"/>
        <w:tabs>
          <w:tab w:leader="none" w:pos="5775" w:val="right"/>
          <w:tab w:leader="none" w:pos="7390" w:val="left"/>
        </w:tabs>
        <w:widowControl w:val="0"/>
        <w:keepNext w:val="0"/>
        <w:keepLines w:val="0"/>
        <w:shd w:val="clear" w:color="auto" w:fill="auto"/>
        <w:bidi w:val="0"/>
        <w:jc w:val="both"/>
        <w:spacing w:before="0" w:after="168" w:line="960" w:lineRule="exact"/>
        <w:ind w:left="20" w:right="0" w:firstLine="0"/>
      </w:pPr>
      <w:r>
        <w:rPr>
          <w:lang w:val="ru-RU" w:eastAsia="ru-RU" w:bidi="ru-RU"/>
          <w:sz w:val="24"/>
          <w:szCs w:val="24"/>
          <w:w w:val="100"/>
          <w:spacing w:val="0"/>
          <w:color w:val="000000"/>
          <w:position w:val="0"/>
        </w:rPr>
        <w:t>Члены Комиссии</w:t>
        <w:tab/>
      </w:r>
      <w:r>
        <w:rPr>
          <w:rStyle w:val="CharStyle14"/>
        </w:rPr>
        <w:t>.</w:t>
      </w:r>
      <w:r>
        <w:rPr>
          <w:lang w:val="ru-RU" w:eastAsia="ru-RU" w:bidi="ru-RU"/>
          <w:sz w:val="24"/>
          <w:szCs w:val="24"/>
          <w:w w:val="100"/>
          <w:spacing w:val="0"/>
          <w:color w:val="000000"/>
          <w:position w:val="0"/>
        </w:rPr>
        <w:tab/>
        <w:t>В.Д. Хрущ</w:t>
      </w:r>
    </w:p>
    <w:sectPr>
      <w:footnotePr>
        <w:pos w:val="pageBottom"/>
        <w:numFmt w:val="decimal"/>
        <w:numRestart w:val="continuous"/>
      </w:footnotePr>
      <w:type w:val="continuous"/>
      <w:pgSz w:w="11906" w:h="16838"/>
      <w:pgMar w:top="1556" w:left="821" w:right="783" w:bottom="7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38"/>
      <w:szCs w:val="38"/>
      <w:rFonts w:ascii="Candara" w:eastAsia="Candara" w:hAnsi="Candara" w:cs="Candara"/>
    </w:rPr>
  </w:style>
  <w:style w:type="character" w:customStyle="1" w:styleId="CharStyle8">
    <w:name w:val="Заголовок №1 (2)_"/>
    <w:basedOn w:val="DefaultParagraphFont"/>
    <w:link w:val="Style7"/>
    <w:rPr>
      <w:b w:val="0"/>
      <w:bCs w:val="0"/>
      <w:i w:val="0"/>
      <w:iCs w:val="0"/>
      <w:u w:val="none"/>
      <w:strike w:val="0"/>
      <w:smallCaps w:val="0"/>
      <w:sz w:val="38"/>
      <w:szCs w:val="38"/>
      <w:rFonts w:ascii="Times New Roman" w:eastAsia="Times New Roman" w:hAnsi="Times New Roman" w:cs="Times New Roman"/>
      <w:spacing w:val="60"/>
    </w:rPr>
  </w:style>
  <w:style w:type="character" w:customStyle="1" w:styleId="CharStyle10">
    <w:name w:val="Основной текст (2)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2)"/>
    <w:basedOn w:val="CharStyle10"/>
    <w:rPr>
      <w:lang w:val="ru-RU" w:eastAsia="ru-RU" w:bidi="ru-RU"/>
      <w:sz w:val="24"/>
      <w:szCs w:val="24"/>
      <w:w w:val="100"/>
      <w:spacing w:val="0"/>
      <w:color w:val="000000"/>
      <w:position w:val="0"/>
    </w:rPr>
  </w:style>
  <w:style w:type="character" w:customStyle="1" w:styleId="CharStyle13">
    <w:name w:val="Основной текст (3)_"/>
    <w:basedOn w:val="DefaultParagraphFont"/>
    <w:link w:val="Style12"/>
    <w:rPr>
      <w:b w:val="0"/>
      <w:bCs w:val="0"/>
      <w:i/>
      <w:iCs/>
      <w:u w:val="none"/>
      <w:strike w:val="0"/>
      <w:smallCaps w:val="0"/>
      <w:sz w:val="26"/>
      <w:szCs w:val="26"/>
      <w:rFonts w:ascii="Times New Roman" w:eastAsia="Times New Roman" w:hAnsi="Times New Roman" w:cs="Times New Roman"/>
    </w:rPr>
  </w:style>
  <w:style w:type="character" w:customStyle="1" w:styleId="CharStyle14">
    <w:name w:val="Основной текст + 16 pt,Курсив"/>
    <w:basedOn w:val="CharStyle4"/>
    <w:rPr>
      <w:lang w:val="ru-RU" w:eastAsia="ru-RU" w:bidi="ru-RU"/>
      <w:i/>
      <w:iCs/>
      <w:sz w:val="32"/>
      <w:szCs w:val="32"/>
      <w:w w:val="100"/>
      <w:spacing w:val="0"/>
      <w:color w:val="000000"/>
      <w:position w:val="0"/>
    </w:rPr>
  </w:style>
  <w:style w:type="paragraph" w:customStyle="1" w:styleId="Style3">
    <w:name w:val="Основной текст"/>
    <w:basedOn w:val="Normal"/>
    <w:link w:val="CharStyle4"/>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outlineLvl w:val="0"/>
      <w:spacing w:before="60" w:after="60" w:line="0" w:lineRule="exact"/>
    </w:pPr>
    <w:rPr>
      <w:b/>
      <w:bCs/>
      <w:i w:val="0"/>
      <w:iCs w:val="0"/>
      <w:u w:val="none"/>
      <w:strike w:val="0"/>
      <w:smallCaps w:val="0"/>
      <w:sz w:val="38"/>
      <w:szCs w:val="38"/>
      <w:rFonts w:ascii="Candara" w:eastAsia="Candara" w:hAnsi="Candara" w:cs="Candara"/>
    </w:rPr>
  </w:style>
  <w:style w:type="paragraph" w:customStyle="1" w:styleId="Style7">
    <w:name w:val="Заголовок №1 (2)"/>
    <w:basedOn w:val="Normal"/>
    <w:link w:val="CharStyle8"/>
    <w:pPr>
      <w:widowControl w:val="0"/>
      <w:shd w:val="clear" w:color="auto" w:fill="FFFFFF"/>
      <w:jc w:val="right"/>
      <w:outlineLvl w:val="0"/>
      <w:spacing w:before="360" w:line="0" w:lineRule="exact"/>
    </w:pPr>
    <w:rPr>
      <w:b w:val="0"/>
      <w:bCs w:val="0"/>
      <w:i w:val="0"/>
      <w:iCs w:val="0"/>
      <w:u w:val="none"/>
      <w:strike w:val="0"/>
      <w:smallCaps w:val="0"/>
      <w:sz w:val="38"/>
      <w:szCs w:val="38"/>
      <w:rFonts w:ascii="Times New Roman" w:eastAsia="Times New Roman" w:hAnsi="Times New Roman" w:cs="Times New Roman"/>
      <w:spacing w:val="60"/>
    </w:rPr>
  </w:style>
  <w:style w:type="paragraph" w:customStyle="1" w:styleId="Style9">
    <w:name w:val="Основной текст (2)"/>
    <w:basedOn w:val="Normal"/>
    <w:link w:val="CharStyle10"/>
    <w:pPr>
      <w:widowControl w:val="0"/>
      <w:shd w:val="clear" w:color="auto" w:fill="FFFFFF"/>
      <w:jc w:val="center"/>
      <w:spacing w:line="322"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720" w:after="240" w:line="322"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