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1"/>
        <w:ind w:left="4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 w:line="260" w:lineRule="exact"/>
        <w:ind w:left="40" w:right="0" w:firstLine="0"/>
      </w:pPr>
      <w:bookmarkStart w:id="0" w:name="bookmark0"/>
      <w:r>
        <w:rPr>
          <w:rStyle w:val="CharStyle8"/>
          <w:b/>
          <w:bCs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7" w:line="245" w:lineRule="exact"/>
        <w:ind w:left="40" w:right="0" w:firstLine="0"/>
      </w:pPr>
      <w:r>
        <w:rPr>
          <w:rStyle w:val="CharStyle5"/>
          <w:b/>
          <w:bCs/>
        </w:rPr>
        <w:t>Федеральной антимонопольной службы по Волгоградской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09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'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1"/>
        <w:tabs>
          <w:tab w:leader="none" w:pos="4158" w:val="right"/>
        </w:tabs>
        <w:widowControl w:val="0"/>
        <w:keepNext/>
        <w:keepLines/>
        <w:shd w:val="clear" w:color="auto" w:fill="auto"/>
        <w:bidi w:val="0"/>
        <w:spacing w:before="0" w:after="92" w:line="400" w:lineRule="exact"/>
        <w:ind w:left="40" w:right="0" w:firstLine="0"/>
      </w:pPr>
      <w:bookmarkStart w:id="1" w:name="bookmark1"/>
      <w:r>
        <w:rPr>
          <w:rStyle w:val="CharStyle13"/>
          <w:i/>
          <w:iCs/>
        </w:rPr>
        <w:t>^</w:t>
      </w:r>
      <w:r>
        <w:rPr>
          <w:rStyle w:val="CharStyle14"/>
          <w:i w:val="0"/>
          <w:iCs w:val="0"/>
        </w:rPr>
        <w:t xml:space="preserve">№ </w:t>
      </w:r>
      <w:r>
        <w:rPr>
          <w:rStyle w:val="CharStyle15"/>
          <w:i/>
          <w:iCs/>
        </w:rPr>
        <w:t xml:space="preserve">У £ </w:t>
      </w:r>
      <w:r>
        <w:rPr>
          <w:rStyle w:val="CharStyle13"/>
          <w:i/>
          <w:iCs/>
        </w:rPr>
        <w:t>—/</w:t>
      </w:r>
      <w:r>
        <w:rPr>
          <w:rStyle w:val="CharStyle13"/>
          <w:lang w:val="en-US" w:eastAsia="en-US" w:bidi="en-US"/>
          <w:i/>
          <w:iCs/>
        </w:rPr>
        <w:t>i/</w:t>
        <w:tab/>
      </w:r>
      <w:r>
        <w:rPr>
          <w:rStyle w:val="CharStyle13"/>
          <w:i/>
          <w:iCs/>
        </w:rPr>
        <w:t>У</w:t>
      </w:r>
      <w:bookmarkEnd w:id="1"/>
    </w:p>
    <w:p>
      <w:pPr>
        <w:pStyle w:val="Style16"/>
        <w:tabs>
          <w:tab w:leader="none" w:pos="2152" w:val="right"/>
          <w:tab w:leader="none" w:pos="3678" w:val="left"/>
          <w:tab w:leader="underscore" w:pos="4110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  <w:tab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08"/>
        <w:ind w:left="20" w:right="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АСК «СТРОНГ ДИЗАЙН» шоссе Авиаторов, д. 1, г. Волгоград, 400042 </w:t>
      </w:r>
      <w:r>
        <w:fldChar w:fldCharType="begin"/>
      </w:r>
      <w:r>
        <w:rPr>
          <w:color w:val="000000"/>
        </w:rPr>
        <w:instrText> HYPERLINK "mailto:strong_disign@mail.ru"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strong_disign@mail.ru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00" w:line="341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казенное учреждение здравоохранения «Медико-санитарная часть министерства внутренних дел Российской Федерации по Волгоградской области» ул. Голубинская, 5 г. Волгоград, 400131 </w:t>
      </w:r>
      <w:r>
        <w:fldChar w:fldCharType="begin"/>
      </w:r>
      <w:r>
        <w:rPr>
          <w:color w:val="000000"/>
        </w:rPr>
        <w:instrText> HYPERLINK "mailto:fkyzmsch@mail.ru"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fkyzmsch@mail.ru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21" w:left="738" w:right="1271" w:bottom="1021" w:header="0" w:footer="3" w:gutter="0"/>
          <w:rtlGutter w:val="0"/>
          <w:cols w:num="2" w:space="1267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ул. Большой Саввинский переулок, дом 12, стр. 9.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85" w:line="346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17-02/04-450</w:t>
      </w:r>
    </w:p>
    <w:p>
      <w:pPr>
        <w:pStyle w:val="Style18"/>
        <w:tabs>
          <w:tab w:leader="none" w:pos="8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 октября 2017 года</w:t>
        <w:tab/>
        <w:t>г. Волгоград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Кострюковой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601" w:line="341" w:lineRule="exact"/>
        <w:ind w:left="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4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005184</w:t>
      </w:r>
      <w:bookmarkEnd w:id="2"/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Поддубновбй А.А. - представителя ФКУЗ «Медико-санитарная часть министерства внутренних дел Российской Федерации по Волгоградской области» на основании доверенности б/н. от 15.01.2017,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Куропаткиной М.А. - представителя ФКУЗ «Медико-санитарная часть министерства внутренних дел Российской Федерации по Волгоградской области» на основании доверенности б/н. от 15.01.2017,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Пальцева К.В. - председателя Единой комиссии Заказчика на основании Приказа №31 от 10.05.2016 и Приказа № 47 от 14.03.2017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АСК «СТРОНГ ДИЗАЙН» вх. № 9900 на действия комиссии при проведении аукциона в электронной форме «Текущий ремонт помещений МСЧ МВД» (номер извещения 0329100015617000136),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0" w:line="34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России по Волгоградской области поступила 23.10.2017 поступила жалоба ООО АСК «СТРОНГ ДИЗАЙН» вх. № 9900 на действия комиссии при проведении аукциона в электронной форме «Текущий ремонт помещений МСЧ МВД» (номер извещения 0329100015617000136).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комиссия неправомерно отказала Заявителю в допуске к участию в аукционе.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</w:t>
      </w:r>
    </w:p>
    <w:p>
      <w:pPr>
        <w:pStyle w:val="Style18"/>
        <w:numPr>
          <w:ilvl w:val="0"/>
          <w:numId w:val="1"/>
        </w:numPr>
        <w:tabs>
          <w:tab w:leader="none" w:pos="13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28.09.2017 г. были опубликованы извещение и документация о проведении аукциона в электронной форме «Текущий ремонт помещений МСЧ МВД» (номер извещения 0329100015617000136). Начальная (максимальная) цена контракта 1 000 000,00 российских рублей.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ст. 67 Закона о контрактной системе, аукционная комиссия рассматривает первые части заявок на участие в электронном аукционе и документы, направленные заказчику оператором электронной площадки в соответствии с частью 3 статьи 66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2 части 4 статьи 67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рассмотрения заявок (первых частей) на участие в электронном аукционе от 16.10.2017 Заявка подлежит отклонению на основании п.2 ч.4 ст.67 Федерального закона от 05.04.2013г. № 44-ФЗ и п.1 Раздела 1 Требования к содержанию, составу заявки на участие в электронном аукционе и инструкция по ее заполнению документации об электронном аукционе, так как участником представлены сведения, предусмотренные в пп. б п.З ч.З ст.66 закона № 44-ФЗ и Раздела 1.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«Требования к содержанию, составу заявки на участие в электронном аукционе и инструкция по ее заполнению», Раздела 3 «Технического задания», </w:t>
      </w:r>
      <w:r>
        <w:rPr>
          <w:rStyle w:val="CharStyle22"/>
        </w:rPr>
        <w:t xml:space="preserve">не соответствующие требованиям документации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аукционе, а именно: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25"/>
          <w:i w:val="0"/>
          <w:iCs w:val="0"/>
        </w:rPr>
        <w:t>В п. 11 «Бетон» указано «класс прочности на сжатие от» В25.</w:t>
      </w:r>
      <w:r>
        <w:rPr>
          <w:rStyle w:val="CharStyle26"/>
          <w:i w:val="0"/>
          <w:iCs w:val="0"/>
        </w:rPr>
        <w:t xml:space="preserve"> В соответствии с п.1 Раздела 1 Требования к содержанию, составу заявки на участие в электронном аукционе и инструкция по ее заполнению документации об электронном аукционе «показатели физико-механических свойств, а так же иные качественные характеристики каждого товара (материала), в столбцах «Минимальные значения показателей» и/или «Максимальные значения показателей» и «Наименование показателя» и «единица измерения» </w:t>
      </w:r>
      <w:r>
        <w:rPr>
          <w:rStyle w:val="CharStyle27"/>
          <w:i/>
          <w:iCs/>
        </w:rPr>
        <w:t>следует считать как одно целое требование параметра с установленными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  <w:i/>
          <w:iCs/>
        </w:rPr>
        <w:t>требованиями, в связи с тем</w:t>
      </w:r>
      <w:r>
        <w:rPr>
          <w:rStyle w:val="CharStyle25"/>
          <w:i w:val="0"/>
          <w:iCs w:val="0"/>
        </w:rPr>
        <w:t xml:space="preserve">. </w:t>
      </w:r>
      <w:r>
        <w:rPr>
          <w:rStyle w:val="CharStyle27"/>
          <w:i/>
          <w:iCs/>
        </w:rPr>
        <w:t>что при различном выборе разрыва фразы разделение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  <w:i/>
          <w:iCs/>
        </w:rPr>
        <w:t>требования одного показателя на два столбца, суть данного требования может быть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  <w:i/>
          <w:iCs/>
        </w:rPr>
        <w:t>кардинально изменена</w:t>
      </w:r>
      <w:r>
        <w:rPr>
          <w:rStyle w:val="CharStyle26"/>
          <w:i w:val="0"/>
          <w:iCs w:val="0"/>
        </w:rPr>
        <w:t xml:space="preserve"> (а именно значения «не менее», «не более», «менее», «более» и их словоформ).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Если в столбце одного и того же показателя, «Наименование показателя» указано «не», а в столбце «Минимальные значения показателей» указано «менее», то следует считать данное выражение как единое требования «не менее», аналогично со словосочетанием «не более» и остальными словосочетаниями в соответствие с инструкцией.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Значение, предоставляемое участником закупки, не должно допускать разночтения или двусмысленное толкование и содержать в т.ч. уточняющие слова (с учетом всех форм слов): «не более», «не менее», « «менее», «более», «превышает», «не превышает», «больше», «не больше» «меньше» «свыше», «выше», «не выше», «ниже», «не ниже», «от», «до», «не ранее», «ранее», «не темнее», «темнее», «не позднее», «позднее», «не меньше», слеши, «&gt;» , «&lt;», «&lt;» , «&gt;», «или» и т.д., то есть должны быть конкретными, за исключение случаев, когда значение показателя не может иметь конкретное значение в соответствие с инструкцией.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п. 18 «Бруски и доски хвойных пород» участник указывает значение шероховатости 200 мкм, указывает сорт 3. В соответствии с ГОСТ, на который ссылается участник параметр шероховатости для сорта 3 составляет не более 1250мкм, а для 4-го сорта - 1600 мкм по ГОСТ 7016-82. Таким образом участник приводит сведения, не соответствующие требованиям п.1 Раздела 1 Требования к содержанию, составу заявки на участие в электронном аукционе и инструкция по ее заполнению документации об электронном аукционе.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 что, первая часть заявки Заявителя содержит информацию не соответствующую требованиям аукционной документации.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отклонение заявки Заявителя от участия в закупке является правомерным и обоснованным.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в действиях аукционной комиссии не выявлено нарушений Федерального закона от 05.04.2013 № 44-ФЗ "О контрактной системе в сфере закупок товаров, работ, услуг для обеспечения государственных и муниципальных нужд" в связи с несоответствием заявки Заявителя требованиям, указанным в аукционной документации.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АСК «СТРОНГ ДИЗАЙН» вх. № 9900 на действия комиссии при проведении аукциона в электронной форме «Текущий ремонт помещений МСЧ МВД» (номер извещения 0329100015617000136) является необоснованной.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Тем не менее, по результатам внеплановой проверки комиссия пришла к следующим выводам.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 в п. 11 Приложения № 1 к Разделу 3 «Техническое Задание» Заказчик требует от участника закупки конкретизировать значения показателей минимальные и максимальные значения которых установлены в ГОСТ 25192-2012.</w:t>
      </w:r>
    </w:p>
    <w:tbl>
      <w:tblPr>
        <w:tblOverlap w:val="never"/>
        <w:tblLayout w:type="fixed"/>
        <w:jc w:val="center"/>
      </w:tblPr>
      <w:tblGrid>
        <w:gridCol w:w="619"/>
        <w:gridCol w:w="1598"/>
        <w:gridCol w:w="1862"/>
        <w:gridCol w:w="1786"/>
        <w:gridCol w:w="2021"/>
        <w:gridCol w:w="1675"/>
      </w:tblGrid>
      <w:tr>
        <w:trPr>
          <w:trHeight w:val="1416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20" w:right="0" w:firstLine="0"/>
            </w:pPr>
            <w:r>
              <w:rPr>
                <w:rStyle w:val="CharStyle28"/>
              </w:rPr>
              <w:t>11.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120" w:right="0" w:firstLine="0"/>
            </w:pPr>
            <w:r>
              <w:rPr>
                <w:rStyle w:val="CharStyle28"/>
              </w:rPr>
              <w:t>Бетой ГОСТ 25192-2012 Бетоны. Классификация и общие технические требования Дата введения 2013-07-01 ГОСТ 26633- 2012 Бетоны тяжелые и мелкозернисты е. Технические условия Дата введения 2014- 01-01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60" w:line="190" w:lineRule="exact"/>
              <w:ind w:left="0" w:right="0" w:firstLine="0"/>
            </w:pPr>
            <w:r>
              <w:rPr>
                <w:rStyle w:val="CharStyle28"/>
              </w:rPr>
              <w:t>Основное</w:t>
            </w:r>
          </w:p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60" w:after="0" w:line="190" w:lineRule="exact"/>
              <w:ind w:left="0" w:right="0" w:firstLine="0"/>
            </w:pPr>
            <w:r>
              <w:rPr>
                <w:rStyle w:val="CharStyle28"/>
              </w:rPr>
              <w:t>назначение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конструкционны</w:t>
            </w:r>
          </w:p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й,</w:t>
            </w:r>
          </w:p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изготавливаете я с применением плотных заполнителей</w:t>
            </w:r>
          </w:p>
        </w:tc>
      </w:tr>
      <w:tr>
        <w:trPr>
          <w:trHeight w:val="49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Класс прочности на сжатие от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В20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6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Класс прочности на осевое растяжение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Б Ю, 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Bt2,4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6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Класс прочности на растяжение при изгибе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Btb0,8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Btb2,4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60" w:line="190" w:lineRule="exact"/>
              <w:ind w:left="0" w:right="0" w:firstLine="0"/>
            </w:pPr>
            <w:r>
              <w:rPr>
                <w:rStyle w:val="CharStyle28"/>
              </w:rPr>
              <w:t>Средняя</w:t>
            </w:r>
          </w:p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60" w:after="0" w:line="190" w:lineRule="exact"/>
              <w:ind w:left="0" w:right="0" w:firstLine="0"/>
            </w:pPr>
            <w:r>
              <w:rPr>
                <w:rStyle w:val="CharStyle28"/>
              </w:rPr>
              <w:t>плотность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D1800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D2500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center"/>
          </w:tcPr>
          <w:p>
            <w:pPr>
              <w:framePr w:w="956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Марка по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56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F50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56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624"/>
        <w:gridCol w:w="1598"/>
        <w:gridCol w:w="1862"/>
        <w:gridCol w:w="1786"/>
        <w:gridCol w:w="2035"/>
        <w:gridCol w:w="1694"/>
      </w:tblGrid>
      <w:tr>
        <w:trPr>
          <w:trHeight w:val="360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морозостойкости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1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 xml:space="preserve">Марка по водонепроницаемо </w:t>
            </w:r>
            <w:r>
              <w:rPr>
                <w:rStyle w:val="CharStyle28"/>
                <w:lang w:val="en-US" w:eastAsia="en-US" w:bidi="en-US"/>
              </w:rPr>
              <w:t xml:space="preserve">cm </w:t>
            </w:r>
            <w:r>
              <w:rPr>
                <w:rStyle w:val="CharStyle28"/>
              </w:rPr>
              <w:t>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W2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W6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Марка по истираемости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 xml:space="preserve">до </w:t>
            </w:r>
            <w:r>
              <w:rPr>
                <w:rStyle w:val="CharStyle28"/>
                <w:lang w:val="en-US" w:eastAsia="en-US" w:bidi="en-US"/>
              </w:rPr>
              <w:t>G3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5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Вяжущее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портландцемент,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шлакопортландцеме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нт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16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В качестве крупных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заполнителей для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бетонов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применяют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щебень и гравий из плотных горных пород\ щебень из отсевов дробления плотных горных пород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Порода щебня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изверженные и метаморфические\ осадочные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5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00" w:right="0" w:firstLine="0"/>
            </w:pPr>
            <w:r>
              <w:rPr>
                <w:rStyle w:val="CharStyle28"/>
              </w:rPr>
              <w:t>В качестве мелких заполнителей для бетонов применяется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8"/>
              </w:rPr>
              <w:t>природный песок\ песок из отсевов дробления горных пород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0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60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Наибольшая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крупность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крупного</w:t>
            </w:r>
          </w:p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28"/>
              </w:rPr>
              <w:t>заполнителя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8"/>
              <w:framePr w:w="96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8"/>
              </w:rPr>
              <w:t>80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6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Тогда как согласно п. 4.6 ГОСТ 25192-2012 значения нормируемых показателей качества бетонов следует определять путем испытания специально изготовленных контрольных образцов или испытания бетона в конструкциях по стандартизированным методам. Согласно п. 4. 8 ГОСТ 25192-2012 соответствие показателей качества бетонов проектным требованиям устанавливают путем оценки результатов испытаний с учетом показателей однородности контролируемого показателя качества.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1 ч. 1 ст. 33 Закона о контрактной системе.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0" w:line="341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8"/>
        <w:numPr>
          <w:ilvl w:val="0"/>
          <w:numId w:val="3"/>
        </w:numPr>
        <w:tabs>
          <w:tab w:leader="none" w:pos="10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АСК «СТРОНГ ДИЗАЙН» вх. № 9900 на действия комиссии при проведении аукциона в электронной форме «Текущий ремонт помещений МСЧ МВД» (номер извещения 0329100015617000136) необоснованной;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 Федерального закона от</w:t>
      </w:r>
    </w:p>
    <w:p>
      <w:pPr>
        <w:pStyle w:val="Style18"/>
        <w:numPr>
          <w:ilvl w:val="0"/>
          <w:numId w:val="5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системе;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097" w:line="33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pStyle w:val="Style18"/>
        <w:tabs>
          <w:tab w:leader="none" w:pos="8300" w:val="right"/>
          <w:tab w:leader="none" w:pos="945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1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Р.А.</w:t>
        <w:tab/>
        <w:t>Литвинов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900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Берендеев И.Ю. </w:t>
      </w:r>
      <w:r>
        <w:rPr>
          <w:rStyle w:val="CharStyle29"/>
        </w:rPr>
        <w:t>(8442) 24 22 64</w:t>
      </w:r>
    </w:p>
    <w:sectPr>
      <w:type w:val="continuous"/>
      <w:pgSz w:w="11906" w:h="16838"/>
      <w:pgMar w:top="1331" w:left="740" w:right="740" w:bottom="952" w:header="0" w:footer="3" w:gutter="17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3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Заголовок №3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20"/>
    </w:rPr>
  </w:style>
  <w:style w:type="character" w:customStyle="1" w:styleId="CharStyle13">
    <w:name w:val="Заголовок №2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Заголовок №2 + Не курсив,Интервал 0 pt"/>
    <w:basedOn w:val="CharStyle1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Заголовок №2 + 11 pt,Интервал 0 pt"/>
    <w:basedOn w:val="CharStyle12"/>
    <w:rPr>
      <w:lang w:val="ru-RU" w:eastAsia="ru-RU" w:bidi="ru-RU"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Заголовок №1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2">
    <w:name w:val="Основной текст + Полужирный"/>
    <w:basedOn w:val="CharStyle19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(5) + Не курсив"/>
    <w:basedOn w:val="CharStyle24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(5) + Не курсив"/>
    <w:basedOn w:val="CharStyle24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(5)"/>
    <w:basedOn w:val="CharStyle2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+ 9,5 pt,Курсив"/>
    <w:basedOn w:val="CharStyle19"/>
    <w:rPr>
      <w:lang w:val="ru-RU" w:eastAsia="ru-RU" w:bidi="ru-RU"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29">
    <w:name w:val="Основной текст (4)"/>
    <w:basedOn w:val="CharStyle17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Заголовок №3"/>
    <w:basedOn w:val="Normal"/>
    <w:link w:val="CharStyle7"/>
    <w:pPr>
      <w:widowControl w:val="0"/>
      <w:shd w:val="clear" w:color="auto" w:fill="FFFFFF"/>
      <w:jc w:val="center"/>
      <w:outlineLvl w:val="2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36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360" w:after="180" w:line="0" w:lineRule="exact"/>
    </w:pPr>
    <w:rPr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  <w:spacing w:val="20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after="300" w:line="35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right"/>
      <w:outlineLvl w:val="0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jc w:val="both"/>
      <w:spacing w:line="341" w:lineRule="exact"/>
      <w:ind w:firstLine="70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