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13" w:line="220" w:lineRule="exact"/>
        <w:ind w:left="0" w:right="0" w:firstLine="21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«Форт»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212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(Заявитель)</w:t>
      </w:r>
    </w:p>
    <w:p>
      <w:pPr>
        <w:pStyle w:val="Style3"/>
        <w:framePr w:w="4826" w:h="3275" w:wrap="around" w:vAnchor="text" w:hAnchor="margin" w:x="-498" w:y="48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framePr w:w="4826" w:h="3275" w:wrap="around" w:vAnchor="text" w:hAnchor="margin" w:x="-498" w:y="48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7"/>
        <w:framePr w:w="4826" w:h="3275" w:wrap="around" w:vAnchor="text" w:hAnchor="margin" w:x="-498" w:y="480"/>
        <w:widowControl w:val="0"/>
        <w:keepNext w:val="0"/>
        <w:keepLines w:val="0"/>
        <w:shd w:val="clear" w:color="auto" w:fill="auto"/>
        <w:bidi w:val="0"/>
        <w:spacing w:before="0" w:after="9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9"/>
        <w:framePr w:w="4826" w:h="3275" w:wrap="around" w:vAnchor="text" w:hAnchor="margin" w:x="-498" w:y="48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220" w:right="0" w:firstLine="0"/>
      </w:pPr>
      <w:r>
        <w:rPr>
          <w:rStyle w:val="CharStyle11"/>
          <w:b w:val="0"/>
          <w:bCs w:val="0"/>
          <w:i w:val="0"/>
          <w:iCs w:val="0"/>
        </w:rPr>
        <w:t xml:space="preserve">№ </w:t>
      </w:r>
      <w:r>
        <w:rPr>
          <w:rStyle w:val="CharStyle12"/>
          <w:lang w:val="ru-RU" w:eastAsia="ru-RU" w:bidi="ru-RU"/>
          <w:b/>
          <w:bCs/>
          <w:i/>
          <w:iCs/>
          <w:spacing w:val="0"/>
        </w:rPr>
        <w:t xml:space="preserve">2 </w:t>
      </w:r>
      <w:r>
        <w:rPr>
          <w:rStyle w:val="CharStyle12"/>
          <w:b/>
          <w:bCs/>
          <w:i/>
          <w:iCs/>
          <w:spacing w:val="0"/>
        </w:rPr>
        <w:t>■fb'i'i jo</w:t>
      </w:r>
      <w:r>
        <w:rPr>
          <w:rStyle w:val="CharStyle13"/>
          <w:b w:val="0"/>
          <w:bCs w:val="0"/>
          <w:i w:val="0"/>
          <w:iCs w:val="0"/>
        </w:rPr>
        <w:t xml:space="preserve"> </w:t>
      </w:r>
      <w:r>
        <w:rPr>
          <w:rStyle w:val="CharStyle13"/>
          <w:lang w:val="ru-RU" w:eastAsia="ru-RU" w:bidi="ru-RU"/>
          <w:b w:val="0"/>
          <w:bCs w:val="0"/>
          <w:i w:val="0"/>
          <w:iCs w:val="0"/>
        </w:rPr>
        <w:t>с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0" w:line="278" w:lineRule="exact"/>
        <w:ind w:left="0" w:right="0" w:firstLine="21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344029, г. Ростов-на-Дону, ул. 1-ой Конной Армии, 15 А </w:t>
      </w:r>
      <w:r>
        <w:fldChar w:fldCharType="begin"/>
      </w:r>
      <w:r>
        <w:rPr>
          <w:color w:val="000000"/>
        </w:rPr>
        <w:instrText> HYPERLINK "mailto:lesorubtorgi@mail.ru"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lesorubtorgi@mail.ru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МКУ «Управление благоустройства Первомайского района» города Ростова-на- Дону (Заказчик; ИНН 6166068396)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0" w:right="1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344029, г. Ростов-на-Дону, ул. Селиванова, 64/112,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8" w:line="278" w:lineRule="exact"/>
        <w:ind w:left="0" w:right="2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+7 863 2587163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 ad- per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@у </w:t>
      </w:r>
      <w:r>
        <w:rPr>
          <w:lang w:val="en-US" w:eastAsia="en-US" w:bidi="en-US"/>
          <w:w w:val="100"/>
          <w:spacing w:val="0"/>
          <w:color w:val="000000"/>
          <w:position w:val="0"/>
        </w:rPr>
        <w:t>andex .ru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99" w:line="269" w:lineRule="exact"/>
        <w:ind w:left="0" w:right="10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ЗАО «Сбербанк -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ACT»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(Оператор)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14"/>
        <w:tabs>
          <w:tab w:leader="none" w:pos="187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57" w:left="1385" w:right="1284" w:bottom="55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widowControl w:val="0"/>
        <w:spacing w:before="18" w:after="1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287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2183/05</w:t>
      </w:r>
    </w:p>
    <w:p>
      <w:pPr>
        <w:pStyle w:val="Style14"/>
        <w:tabs>
          <w:tab w:leader="none" w:pos="8516" w:val="right"/>
          <w:tab w:leader="none" w:pos="1022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9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«13» ноября 2017 года</w:t>
        <w:tab/>
        <w:t>г.</w:t>
        <w:tab/>
        <w:t>Ростов-на-Дону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УФ АС России) по контролю закупок (далее - Комиссия) в составе:</w:t>
      </w:r>
    </w:p>
    <w:p>
      <w:pPr>
        <w:pStyle w:val="Style14"/>
        <w:tabs>
          <w:tab w:leader="none" w:pos="517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Кожемяко Н.А.</w:t>
      </w:r>
    </w:p>
    <w:p>
      <w:pPr>
        <w:pStyle w:val="Style14"/>
        <w:tabs>
          <w:tab w:leader="none" w:pos="517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Вишненко А.К.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5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Корнева Е.Д.,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279" w:line="269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в присутствии представителя Заказчика, в отсутствие представителя Заявителя дело № 2183/05 по жалобе Заявителя о нарушении Заказчиком норм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№ 44-ФЗ) при проведении электронного аукциона № 0858300001917000023 «На приобретение саженцев деревьев клена и выполнение работ по их посадке в осенний период на территории Первомайского района в 2017 году (для субъектов малого предпринимательства и социально ориентированных некоммерческих организаций)» (далее - аукцион),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27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07.11.2017 поступила жалоба Заявителя по признакам нарушения Заказчиком Закона № 44-ФЗ при проведении аукциона.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 Заявителя, Заказчиком в описании объекта закупки (Приложение № 2 к документации) установлены требования к показателю «высота надземной части саженцев клена от 4,0 до 4,5 м», что является показателем, определяемым по результатам испытаний в соответствии с ТОСТ 24909-81, что противоречит требованиям Закона № 44-ФЗ.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выразил несогласие с доводами Заявителя.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материалы дела, выслушав представителя Заказчика, по итогам проведения внеплановой проверки в соответствии с пунктом 15 статьи 99 Закона № 44-ФЗ, Комиссия пришла к следующим выводам.</w:t>
      </w:r>
    </w:p>
    <w:p>
      <w:pPr>
        <w:pStyle w:val="Style14"/>
        <w:numPr>
          <w:ilvl w:val="0"/>
          <w:numId w:val="1"/>
        </w:numPr>
        <w:tabs>
          <w:tab w:leader="none" w:pos="184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официальном сайте единой информационной системы в сфере закупок (далее - ЕИС) Заказчиком размещено извещение о проведении электронного аукциона № 0858300001917000023 и документация для проведения электронного аукциона по закупке: на приобретение саженцев деревьев клена и выполнение работ по их посадке в осенний период на</w:t>
        <w:br w:type="page"/>
        <w:t>территории Первомайского района в 2017 году (для субъектов малого предпринимательства и социально ориентированных некоммерческих организаций) (далее - аукционная документация).</w:t>
      </w:r>
    </w:p>
    <w:p>
      <w:pPr>
        <w:pStyle w:val="Style14"/>
        <w:numPr>
          <w:ilvl w:val="0"/>
          <w:numId w:val="3"/>
        </w:numPr>
        <w:tabs>
          <w:tab w:leader="none" w:pos="18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аукционную документацию внесены изменения.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составила 575 985, 94 руб.; дата и время окончания подачи заявок на участие в аукционе - 08.11.2017 23:59. На момент рассмотрения жалобы контракт не заключен.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пункта 1 части 1 статьи 64 Закона № 44-ФЗ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статьёй 33 Закона № 44-ФЗ, в том числе обоснование начальной (максимальной) цены контракта.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 статьи 33 Закона № 44-ФЗ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согласно пункту 1 части 1 статьи 33 Закона № 44-ФЗ не допускается включение в документацию о закупке требований к товарам, информации, работам, услугам, при условии, что такие требования влекут за собой ограничение количества участников закупки.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2 части 1 статьи 33 Закона № 44-ФЗ определено, что Заказчик должен устанавливать в аукционной документации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описании объекта закупки (Приложение № 2 к аукционной документации) Заказчиком установлено требование к посадочному материалу, используемому для посадки деревьев на пл. Октябрьской (за остановкой Пригородный автовокзал, вход в парк им. Н. Островского) и по ул. Пановой, (вдоль Областной клинической больницы № 2), «высота надземной части саженцев клена от 4,0 до 4,5 м».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описании данного товара (материала), используемого при выполнении работ, Заказчиком установлены требованиям к показателям, определяемым по результатам испытания такого товара (материала).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Высота саженцев является показателем, определяемым по результатам испытаний в соответствии с ГОСТ 24909-81.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Применительно к требованиям пункта 1 части 1 статьи 33 Закона № 44-ФЗ показатели, определяемые по результатам испытания товаров (материалов), не являются объективной характеристикой при описании товара, так как не указывают на функциональные, технические, качественные и эксплуатационные свойства закупаемого товара.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требование об указании в составе первой части заявки показателей, значения которых определяются посредством проведения испытательных процедур, является противоречащим положениям законодательства о контрактной системе в сфере закупок, что следует не только из положений Закона № 44-ФЗ, но и подтверждается письмом органа, уполномоченного на осуществление контроля в сфере закупок, а также выводами Верховного Суда Российской Федерации.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3 Письма ФАС России от 01.07.2016 № ИА/44536/16 «Об установлении заказчиком требований к составу, инструкции по заполнению заявки на участие в закупке» признаками ограничения доступа к участию в закупке являются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</w:t>
        <w:br w:type="page"/>
        <w:t>определенной партии товара после его производства, поскольку Закон № 44-ФЗ не обязывает участника закупки иметь в наличии товар в момент подачи заявки.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Данная позиция ФАС России подтверждена решением Верховного суда Российской Федерации от 09.02.2017 по делу № АКПИ16-1287.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учётом изложенного, Комиссия пришла к выводу, что действия Заказчика нарушают часть 1 статьи 64 Закона № 44-ФЗ.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согласно протоколу № 0858300001917000023-1 рассмотрения первых частей заявок на участие в электронном аукционе от 09.11.2017 на участие в аукционе подано шесть заявок, все первые части которых признаны соответствующими требованиям аукционной документации.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допущенное Заказчиком нарушение не привело к отклонению первых частей заявок участников и ограничению числа участников закупки. Основания для выдачи предписания Комиссией не установлено.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283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Комиссия, руководствуясь постановлением Правительства РФ от 26.08.2013 № 728, частью 15 статьи 99, частью 8 статьи 106 Закона № 44-ФЗ,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205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4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«Форт» обоснованной.</w:t>
      </w:r>
    </w:p>
    <w:p>
      <w:pPr>
        <w:pStyle w:val="Style14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Заказчика нарушившим часть 1 статьи 64 Закона № 44-ФЗ.</w:t>
      </w:r>
    </w:p>
    <w:p>
      <w:pPr>
        <w:pStyle w:val="Style14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Предписание Заказчику не выдавать.</w:t>
      </w:r>
    </w:p>
    <w:p>
      <w:pPr>
        <w:pStyle w:val="Style14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36" w:line="269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Рассмотреть вопрос о привлечении должностного лица Заказчика к административной ответственности.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720"/>
        <w:sectPr>
          <w:type w:val="continuous"/>
          <w:pgSz w:w="11906" w:h="16838"/>
          <w:pgMar w:top="784" w:left="824" w:right="814" w:bottom="121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трёх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843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4"/>
        <w:framePr w:h="221" w:wrap="notBeside" w:vAnchor="text" w:hAnchor="margin" w:x="8078" w:y="111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6"/>
          <w:spacing w:val="0"/>
        </w:rPr>
        <w:t>Е.Д. Корнева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323" w:left="1578" w:right="7530" w:bottom="670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04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31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3"/>
    </w:rPr>
  </w:style>
  <w:style w:type="character" w:customStyle="1" w:styleId="CharStyle6">
    <w:name w:val="Основной текст (3) Exact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character" w:customStyle="1" w:styleId="CharStyle8">
    <w:name w:val="Основной текст (4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character" w:customStyle="1" w:styleId="CharStyle10">
    <w:name w:val="Основной текст (5) Exact"/>
    <w:basedOn w:val="DefaultParagraphFont"/>
    <w:link w:val="Style9"/>
    <w:rPr>
      <w:lang w:val="en-US" w:eastAsia="en-US" w:bidi="en-US"/>
      <w:b/>
      <w:bCs/>
      <w:i/>
      <w:iCs/>
      <w:u w:val="none"/>
      <w:strike w:val="0"/>
      <w:smallCaps w:val="0"/>
      <w:rFonts w:ascii="Times New Roman" w:eastAsia="Times New Roman" w:hAnsi="Times New Roman" w:cs="Times New Roman"/>
      <w:spacing w:val="-4"/>
    </w:rPr>
  </w:style>
  <w:style w:type="character" w:customStyle="1" w:styleId="CharStyle11">
    <w:name w:val="Основной текст (5) + Arial,Не полужирный,Не курсив,Интервал 0 pt Exact"/>
    <w:basedOn w:val="CharStyle10"/>
    <w:rPr>
      <w:lang w:val="ru-RU" w:eastAsia="ru-RU" w:bidi="ru-RU"/>
      <w:b/>
      <w:bCs/>
      <w:i/>
      <w:iCs/>
      <w:sz w:val="24"/>
      <w:szCs w:val="24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2">
    <w:name w:val="Основной текст (5) Exact"/>
    <w:basedOn w:val="CharStyle10"/>
    <w:rPr>
      <w:u w:val="single"/>
      <w:sz w:val="24"/>
      <w:szCs w:val="24"/>
      <w:w w:val="100"/>
      <w:color w:val="000000"/>
      <w:position w:val="0"/>
    </w:rPr>
  </w:style>
  <w:style w:type="character" w:customStyle="1" w:styleId="CharStyle13">
    <w:name w:val="Основной текст (5) + Arial,Не полужирный,Не курсив,Интервал 0 pt Exact"/>
    <w:basedOn w:val="CharStyle10"/>
    <w:rPr>
      <w:b/>
      <w:bCs/>
      <w:i/>
      <w:iCs/>
      <w:u w:val="single"/>
      <w:sz w:val="24"/>
      <w:szCs w:val="24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5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374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3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line="302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after="120" w:line="206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spacing w:before="120" w:line="0" w:lineRule="exact"/>
    </w:pPr>
    <w:rPr>
      <w:lang w:val="en-US" w:eastAsia="en-US" w:bidi="en-US"/>
      <w:b/>
      <w:bCs/>
      <w:i/>
      <w:iCs/>
      <w:u w:val="none"/>
      <w:strike w:val="0"/>
      <w:smallCaps w:val="0"/>
      <w:rFonts w:ascii="Times New Roman" w:eastAsia="Times New Roman" w:hAnsi="Times New Roman" w:cs="Times New Roman"/>
      <w:spacing w:val="-4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