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91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/>
        <w:keepLines/>
        <w:shd w:val="clear" w:color="auto" w:fill="auto"/>
        <w:bidi w:val="0"/>
        <w:spacing w:before="0" w:after="0" w:line="260" w:lineRule="exact"/>
        <w:ind w:left="0" w:right="0" w:firstLine="0"/>
      </w:pPr>
      <w:bookmarkStart w:id="0" w:name="bookmark0"/>
      <w:r>
        <w:rPr>
          <w:rStyle w:val="CharStyle8"/>
          <w:b/>
          <w:bCs/>
        </w:rPr>
        <w:t>УПРАВЛЕНИЕ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1" w:line="250" w:lineRule="exact"/>
        <w:ind w:left="0" w:right="0" w:firstLine="0"/>
      </w:pPr>
      <w:r>
        <w:rPr>
          <w:rStyle w:val="CharStyle5"/>
          <w:b/>
          <w:bCs/>
        </w:rPr>
        <w:t>Федеральной антимонопольной службы по Волгоградской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321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11"/>
        <w:tabs>
          <w:tab w:leader="none" w:pos="2167" w:val="right"/>
          <w:tab w:leader="none" w:pos="3998" w:val="right"/>
        </w:tabs>
        <w:widowControl w:val="0"/>
        <w:keepNext/>
        <w:keepLines/>
        <w:shd w:val="clear" w:color="auto" w:fill="auto"/>
        <w:bidi w:val="0"/>
        <w:spacing w:before="0" w:after="106" w:line="260" w:lineRule="exact"/>
        <w:ind w:left="460" w:right="0" w:firstLine="0"/>
      </w:pPr>
      <w:bookmarkStart w:id="1" w:name="bookmark1"/>
      <w:r>
        <w:rPr>
          <w:rStyle w:val="CharStyle13"/>
          <w:i/>
          <w:iCs/>
        </w:rPr>
        <w:t>10. /9</w:t>
      </w:r>
      <w:r>
        <w:rPr>
          <w:rStyle w:val="CharStyle14"/>
          <w:lang w:val="ru-RU" w:eastAsia="ru-RU" w:bidi="ru-RU"/>
          <w:i w:val="0"/>
          <w:iCs w:val="0"/>
        </w:rPr>
        <w:tab/>
      </w:r>
      <w:r>
        <w:rPr>
          <w:rStyle w:val="CharStyle15"/>
          <w:i w:val="0"/>
          <w:iCs w:val="0"/>
        </w:rPr>
        <w:t>№</w:t>
        <w:tab/>
      </w:r>
      <w:r>
        <w:rPr>
          <w:rStyle w:val="CharStyle16"/>
          <w:i/>
          <w:iCs/>
        </w:rPr>
        <w:t>L(</w:t>
      </w:r>
      <w:r>
        <w:rPr>
          <w:rStyle w:val="CharStyle13"/>
          <w:i/>
          <w:iCs/>
        </w:rPr>
        <w:t>I</w:t>
      </w:r>
      <w:bookmarkEnd w:id="1"/>
    </w:p>
    <w:p>
      <w:pPr>
        <w:pStyle w:val="Style17"/>
        <w:tabs>
          <w:tab w:leader="none" w:pos="2167" w:val="righ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" w:right="0" w:firstLine="0"/>
      </w:pPr>
      <w:r>
        <w:rPr>
          <w:rStyle w:val="CharStyle19"/>
        </w:rPr>
        <w:t>На №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300"/>
        <w:ind w:left="20" w:right="6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АСК «СТРОНГ ДИЗАЙН» шоссе Авиаторов, д. 1, г. Волгоград, 400042 </w:t>
      </w:r>
      <w:r>
        <w:fldChar w:fldCharType="begin"/>
      </w:r>
      <w:r>
        <w:rPr>
          <w:color w:val="000000"/>
        </w:rPr>
        <w:instrText> HYPERLINK "mailto:strong_disign@mail.ru"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strong_disign@mail.ru</w:t>
      </w:r>
      <w:r>
        <w:fldChar w:fldCharType="end"/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006" w:left="759" w:right="1282" w:bottom="1006" w:header="0" w:footer="3" w:gutter="0"/>
          <w:rtlGutter w:val="0"/>
          <w:cols w:num="2" w:space="1234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Федеральное казенное учреждение здравоохранения «Медико-санитарная часть министерства внутренних дел Российской Федерации по Волгоградской области» ул. Голубинская, 5 г. Волгоград, 400131 </w:t>
      </w:r>
      <w:r>
        <w:fldChar w:fldCharType="begin"/>
      </w:r>
      <w:r>
        <w:rPr>
          <w:color w:val="000000"/>
        </w:rPr>
        <w:instrText> HYPERLINK "mailto:fkyzmsch@mail.ru"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fkyzmsch@mail.ru</w:t>
      </w:r>
      <w:r>
        <w:fldChar w:fldCharType="end"/>
      </w:r>
    </w:p>
    <w:p>
      <w:pPr>
        <w:widowControl w:val="0"/>
        <w:spacing w:before="50" w:after="5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4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ЗАО «Сбербанк-АСТ»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660"/>
        <w:ind w:left="5420" w:right="7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119435, г. Москва, ул. Большой Саввинский переулок, дом 12, стр. 9.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center"/>
        <w:spacing w:before="0" w:after="381"/>
        <w:ind w:left="0" w:right="3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17-02/04-449</w:t>
      </w:r>
    </w:p>
    <w:p>
      <w:pPr>
        <w:pStyle w:val="Style20"/>
        <w:tabs>
          <w:tab w:leader="none" w:pos="8439" w:val="right"/>
          <w:tab w:leader="none" w:pos="967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95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26 октября 2017 года</w:t>
        <w:tab/>
        <w:t>г.</w:t>
        <w:tab/>
        <w:t>Волгоград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36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36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Литвинова Р.А. - председателя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36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Кострюковой И.Ю. — члена Комиссии, главного специалиста-эксперта отдела контроля государственных и муниципальных закупок, недобросовестной конкуренции и рекламы;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36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Берендеева И.Ю. — члена Комиссии, главного специалиста-эксперта отдела контроля государственных и муниципальных закупок, недобросовестной конкуренции и рекламы,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669" w:line="331" w:lineRule="exact"/>
        <w:ind w:left="9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участием:</w:t>
      </w:r>
    </w:p>
    <w:p>
      <w:pPr>
        <w:pStyle w:val="Style22"/>
        <w:widowControl w:val="0"/>
        <w:keepNext/>
        <w:keepLines/>
        <w:shd w:val="clear" w:color="auto" w:fill="auto"/>
        <w:bidi w:val="0"/>
        <w:spacing w:before="0" w:after="0" w:line="320" w:lineRule="exact"/>
        <w:ind w:left="0" w:right="26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005183</w:t>
      </w:r>
      <w:bookmarkEnd w:id="2"/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Поддубновой А.А. - представителя ФКУЗ «Медико-санитарная часть министерства внутренних дел Российской Федерации по Волгоградской области» на основании доверенности б/н. от 15.01.2017,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Куропаткиной М.А. - представителя ФКУЗ «Медико-санитарная часть министерства внутренних дел Российской Федерации по Волгоградской области» на основании доверенности б/н. от 15.01.2017,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Пальцева К.В. - председателя Единой комиссии Заказчика на основании Приказа №31 от 10.05.2016 и Приказа № 47 от 14.03.2017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АСК «СТРОНГ ДИЗАЙН» вх. № 9901 на действия комиссии при проведении аукциона в электронной форме «Капитальный ремонт объектов МСЧ МВД» (номер извещения 0329100015617000135),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Федеральной антимонопольной службы России по Волгоградской области поступила 23.10.2017 поступила жалоба ООО АСК «СТРОНГ ДИЗАЙН» вх. № 9901 на действия комиссии при проведении аукциона в электронной форме «Капитальный ремонт объектов МСЧ МВД» (номер извещения 0329100015617000135).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 аукционная комиссия неправомерно отказала Заявителю в допуске к участию в аукционе.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Выслушав доводы сторон, ознакомившись с представленными документами, и проведя внеплановую проверку в соответствии с ч. 15 ст. 99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(далее - Закона о контрактной системе), Комиссия Управления пришла к следующим выводам.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28.09.2017 г. были опубликованы извещение и документация о проведении аукциона в электронной форме «Капитальный ремонт объектов МСЧ МВД» (номер извещения 0329100015617000135). Начальная (максимальная) цена контракта 1 226 909,27 российских рублей.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1 ст. 67 Закона о контрактной системе, аукционная комиссия рассматривает первые части заявок на участие в электронном аукционе и документы, направленные заказчику оператором электронной площадки в соответствии с частью 3 статьи 66 настоящего Федерального закона, в части соответствия их требованиям, установленным документацией о таком аукционе.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пункту 2 части 4 статьи 67 Участник электронного аукциона не допускается к участию в нем в случае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протоколу рассмотрения заявок (первых частей) на участие в электронном аукционе от 16.10.2017 Заявка подлежит отклонению на основании п. 2 ч. 4 ст. 67 Федерального закона от 05.04.2013г. № 44-ФЗ и п.1 Раздела 1 Требования к содержанию, составу заявки на участие в электронном аукционе и инструкция по ее заполнению документации об электронном аукционе, так как участником представлены сведения, предусмотренные в пп. б п.З ч.З ст.66 закона № 44-ФЗ и Раздела 1.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«Требования к содержанию, составу заявки на участие в электронном аукционе и инструкция по ее заполнению», Раздела 3 «Технического задания», </w:t>
      </w:r>
      <w:r>
        <w:rPr>
          <w:rStyle w:val="CharStyle24"/>
        </w:rPr>
        <w:t xml:space="preserve">не соответствующие требованиям документации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 аукционе, а именно: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п. 20 «Канат двойной свивки» указано значение «направление свивки», минимальное значение, установленное заказчиком - правое, левое. В графе «Конкретные показатели используемого товара, соответствующие значениям, установленным документацией предлагаемые участником закупки» участником не указано значение, что противоречит инструкции по заполнению заявки.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п.1 Раздела 1 Требования к содержанию, составу заявки на участие в электронном аукционе и инструкция по ее заполнению документации об электронном аукционе «если показатели и значения характеристик эквивалентов товаров и/или материалов, установленные в требованиях аукционной документации, включая значения показателей, которые не могут изменяться, не применяются для указанного участником закупки типа, сорта, вида, класса, модели, марки или конструктивного исполнения товара и/или материала, участник закупки может указать конкретное значение в соответствующей формулировке, определяющей отсутствие неприменяемого показателя и его значения, а именно: «не применяется» или «не используется» или «отсутствует».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установлено что, первая часть заявки Заявителя содержит информацию не соответствующую требованиям аукционной документации.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Так, участником в п. 20 Приложения № 1 к Разделу 3 «Техническое задание» не указано значение показателя «Направление свивки» по позиции «Канат двойной свивки»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отклонение заявки Заявителя от участия в закупке является правомерным и обоснованным.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Следовательно, в действиях аукционной комиссии не выявлено нарушений Федерального закона от 05.04.2013 № 44-ФЗ "О контрактной системе в сфере закупок товаров, работ, услуг для обеспечения государственных и муниципальных нужд" в связи с несоответствием заявки Заявителя требованиям, указанным в аукционной документации.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 ООО АСК «СТРОНГ ДИЗАЙН» вх. № 9901 на действия комиссии при проведении аукциона в электронной форме «Капитальный ремонт объектов МСЧ МВД» (номер извещения 0329100015617000135) является необоснованной.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Тем не менее, по результатам внеплановой проверки комиссия пришла к следующим выводам.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2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3-6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установлено, что п. 20 Приложения № 1 к Техническому заданию содержит сведения о сверхподробном описании товаров используемых при выполнении работ, конкретные показатели которых должны быть указаны участниками в составе своих заявок, а именно Заказчик требует указания направления свивки каната (правое или левое).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Комиссия приходит к выводу о том, что инструкция, содержащаяся в аукционной документации, устанавливает требования к описанию участниками закупки в составе своих заявок на участие в электронном аукционе, помимо конкретных показателей товаров, используемых при выполнении работ, непредусмотренные ч. 6 ст. 66 Закона о контрактной системе конкретных показателей технологических процессов изготовления указанных товаров, характеристик товаров не являющихся функциональными, технологическими, качественными или эксплуатационными. Указанные требования приводят к ограничению количества участников закупки, поскольку Закон о контрактной системе не обязывает участников иметь в наличии товар, предлагаемый к использованию, на момент подачи заявки на участие в закупке, для представления вышеуказанных сведений.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Учитывая изложенное Заказчиком установлены излишние требования к описанию товаров- необходимых для выполнения работ, что является нарушением п. 2 ч. 1 ст. 64 Закона о контрактной системе, что содержит признаки состава административного правонарушения, ответственность за совершения которого, предусмотрена ч. 4.2 ст. 7. 30 Кодекса Российской Федерации об административных правонарушениях.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1 ч. 1 ст. 33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установлено, что Заказчиком установлены такие требования к товару, используемому при выполнении работ, которые дают возможность участнику предложить товар с характеристиками, заведомо неподходящими Заказчику.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Так в п. 1 Приложения № 1 к Техническому заданию установлены требования к товару </w:t>
      </w:r>
      <w:r>
        <w:rPr>
          <w:rStyle w:val="CharStyle25"/>
        </w:rPr>
        <w:t>«Кабель ГОСТ 16442-80 , ГОСТ 16442-80. Кабели силовые с пластмассовой изоляцией. ...»,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предполагающие как наличие, так и отсутствие нулевой жилы и жилы заземления в составе кабеля, в то время как отсутствие этих жил не соответствует иным потребностям Заказчика установленным в аукционной документации.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Заказчиком нарушен п. 1 ч. 1 ст. 33 Закона о контрактной системе, в части необъективности описания объекта закупки и установления противоречивых требований к нему.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Руководствуясь главой 6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нужд», Комиссия Управления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center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ООО АСК «СТРОНГ ДИЗАЙН» вх. № 9901 на действия комиссии при проведении аукциона в электронной форме «Капитальный ремонт объектов МСЧ МВД» (номер извещения 0329100015617000135) необоснованной;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Заказчика нарушившим п. 1 ч. 1 ст. 33 и п. 2 ч. 1 ст. 64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нужд»;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472"/>
        <w:ind w:left="20" w:right="20" w:firstLine="720"/>
        <w:sectPr>
          <w:type w:val="continuous"/>
          <w:pgSz w:w="11906" w:h="16838"/>
          <w:pgMar w:top="1454" w:left="757" w:right="757" w:bottom="1017" w:header="0" w:footer="3" w:gutter="13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заказчика.</w:t>
      </w:r>
    </w:p>
    <w:p>
      <w:pPr>
        <w:widowControl w:val="0"/>
        <w:spacing w:before="5" w:after="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36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5584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59" w:lineRule="exact"/>
        <w:ind w:left="2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Берендеев И.Ю. (8442) 24 22 64</w:t>
      </w:r>
      <w:r>
        <w:br w:type="page"/>
      </w:r>
    </w:p>
    <w:sectPr>
      <w:type w:val="continuous"/>
      <w:pgSz w:w="11906" w:h="16838"/>
      <w:pgMar w:top="1129" w:left="983" w:right="7953" w:bottom="65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Заголовок №3_"/>
    <w:basedOn w:val="DefaultParagraphFont"/>
    <w:link w:val="Style6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Заголовок №3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2">
    <w:name w:val="Заголовок №2_"/>
    <w:basedOn w:val="DefaultParagraphFont"/>
    <w:link w:val="Style11"/>
    <w:rPr>
      <w:b w:val="0"/>
      <w:bCs w:val="0"/>
      <w:i/>
      <w:iCs/>
      <w:u w:val="none"/>
      <w:strike w:val="0"/>
      <w:smallCaps w:val="0"/>
      <w:sz w:val="26"/>
      <w:szCs w:val="26"/>
      <w:rFonts w:ascii="Impact" w:eastAsia="Impact" w:hAnsi="Impact" w:cs="Impact"/>
    </w:rPr>
  </w:style>
  <w:style w:type="character" w:customStyle="1" w:styleId="CharStyle13">
    <w:name w:val="Заголовок №2"/>
    <w:basedOn w:val="CharStyle12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4">
    <w:name w:val="Заголовок №2 + Verdana,10 pt,Не курсив"/>
    <w:basedOn w:val="CharStyle12"/>
    <w:rPr>
      <w:lang w:val="1024"/>
      <w:i/>
      <w:iCs/>
      <w:sz w:val="20"/>
      <w:szCs w:val="20"/>
      <w:rFonts w:ascii="Verdana" w:eastAsia="Verdana" w:hAnsi="Verdana" w:cs="Verdana"/>
      <w:w w:val="100"/>
      <w:spacing w:val="0"/>
      <w:color w:val="000000"/>
      <w:position w:val="0"/>
    </w:rPr>
  </w:style>
  <w:style w:type="character" w:customStyle="1" w:styleId="CharStyle15">
    <w:name w:val="Заголовок №2 + Verdana,10 pt,Не курсив"/>
    <w:basedOn w:val="CharStyle12"/>
    <w:rPr>
      <w:lang w:val="ru-RU" w:eastAsia="ru-RU" w:bidi="ru-RU"/>
      <w:i/>
      <w:iCs/>
      <w:sz w:val="20"/>
      <w:szCs w:val="20"/>
      <w:rFonts w:ascii="Verdana" w:eastAsia="Verdana" w:hAnsi="Verdana" w:cs="Verdana"/>
      <w:w w:val="100"/>
      <w:spacing w:val="0"/>
      <w:color w:val="000000"/>
      <w:position w:val="0"/>
    </w:rPr>
  </w:style>
  <w:style w:type="character" w:customStyle="1" w:styleId="CharStyle16">
    <w:name w:val="Заголовок №2 + 11,5 pt,Интервал -2 pt"/>
    <w:basedOn w:val="CharStyle12"/>
    <w:rPr>
      <w:lang w:val="en-US" w:eastAsia="en-US" w:bidi="en-US"/>
      <w:u w:val="single"/>
      <w:sz w:val="23"/>
      <w:szCs w:val="23"/>
      <w:w w:val="100"/>
      <w:spacing w:val="-40"/>
      <w:color w:val="000000"/>
      <w:position w:val="0"/>
    </w:rPr>
  </w:style>
  <w:style w:type="character" w:customStyle="1" w:styleId="CharStyle18">
    <w:name w:val="Основной текст (4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9">
    <w:name w:val="Основной текст (4)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Основной текст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3">
    <w:name w:val="Заголовок №1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32"/>
      <w:szCs w:val="32"/>
      <w:rFonts w:ascii="Microsoft Sans Serif" w:eastAsia="Microsoft Sans Serif" w:hAnsi="Microsoft Sans Serif" w:cs="Microsoft Sans Serif"/>
    </w:rPr>
  </w:style>
  <w:style w:type="character" w:customStyle="1" w:styleId="CharStyle24">
    <w:name w:val="Основной текст + Полужирный"/>
    <w:basedOn w:val="CharStyle21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5">
    <w:name w:val="Основной текст + Курсив"/>
    <w:basedOn w:val="CharStyle21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7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Заголовок №3"/>
    <w:basedOn w:val="Normal"/>
    <w:link w:val="CharStyle7"/>
    <w:pPr>
      <w:widowControl w:val="0"/>
      <w:shd w:val="clear" w:color="auto" w:fill="FFFFFF"/>
      <w:jc w:val="center"/>
      <w:outlineLvl w:val="2"/>
      <w:spacing w:before="180" w:after="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60" w:after="360" w:line="211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FFFFFF"/>
      <w:jc w:val="both"/>
      <w:outlineLvl w:val="1"/>
      <w:spacing w:before="360" w:after="180" w:line="0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Impact" w:eastAsia="Impact" w:hAnsi="Impact" w:cs="Impact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0">
    <w:name w:val="Основной текст"/>
    <w:basedOn w:val="Normal"/>
    <w:link w:val="CharStyle21"/>
    <w:pPr>
      <w:widowControl w:val="0"/>
      <w:shd w:val="clear" w:color="auto" w:fill="FFFFFF"/>
      <w:spacing w:after="300" w:line="341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FFFFFF"/>
      <w:jc w:val="right"/>
      <w:outlineLvl w:val="0"/>
      <w:spacing w:before="660"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Microsoft Sans Serif" w:eastAsia="Microsoft Sans Serif" w:hAnsi="Microsoft Sans Serif" w:cs="Microsoft Sans Serif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