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26"/>
        <w:ind w:left="460" w:right="0" w:firstLine="0"/>
      </w:pPr>
      <w:r>
        <w:rPr>
          <w:lang w:val="ru-RU" w:eastAsia="ru-RU" w:bidi="ru-RU"/>
          <w:w w:val="100"/>
          <w:spacing w:val="0"/>
          <w:color w:val="000000"/>
          <w:position w:val="0"/>
        </w:rPr>
        <w:t>ФЕДЕРАЛЬНАЯ АНТИМОНОПОЛЬНАЯ СЛУЖБА</w:t>
      </w:r>
    </w:p>
    <w:p>
      <w:pPr>
        <w:pStyle w:val="Style3"/>
        <w:framePr w:w="4941" w:h="2699" w:wrap="around" w:vAnchor="text" w:hAnchor="margin" w:x="-23" w:y="95"/>
        <w:widowControl w:val="0"/>
        <w:keepNext w:val="0"/>
        <w:keepLines w:val="0"/>
        <w:shd w:val="clear" w:color="auto" w:fill="auto"/>
        <w:bidi w:val="0"/>
        <w:spacing w:before="0" w:after="0"/>
        <w:ind w:left="20" w:right="0" w:firstLine="0"/>
      </w:pPr>
      <w:r>
        <w:rPr>
          <w:rStyle w:val="CharStyle4"/>
          <w:b/>
          <w:bCs/>
          <w:spacing w:val="0"/>
        </w:rPr>
        <w:t>УПРАВЛЕНИЕ Федеральной антимонопольной службы по Республике Крым и городу Севастополю</w:t>
      </w:r>
    </w:p>
    <w:p>
      <w:pPr>
        <w:pStyle w:val="Style5"/>
        <w:framePr w:w="4941" w:h="2699" w:wrap="around" w:vAnchor="text" w:hAnchor="margin" w:x="-23" w:y="95"/>
        <w:widowControl w:val="0"/>
        <w:keepNext w:val="0"/>
        <w:keepLines w:val="0"/>
        <w:shd w:val="clear" w:color="auto" w:fill="auto"/>
        <w:bidi w:val="0"/>
        <w:spacing w:before="0" w:after="278"/>
        <w:ind w:left="2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framePr w:w="4941" w:h="2699" w:wrap="around" w:vAnchor="text" w:hAnchor="margin" w:x="-23" w:y="95"/>
        <w:widowControl w:val="0"/>
        <w:keepNext w:val="0"/>
        <w:keepLines w:val="0"/>
        <w:shd w:val="clear" w:color="auto" w:fill="auto"/>
        <w:bidi w:val="0"/>
        <w:jc w:val="left"/>
        <w:spacing w:before="0" w:after="258" w:line="210" w:lineRule="exact"/>
        <w:ind w:left="20" w:right="0" w:firstLine="0"/>
      </w:pPr>
      <w:r>
        <w:rPr>
          <w:lang w:val="ru-RU" w:eastAsia="ru-RU" w:bidi="ru-RU"/>
          <w:w w:val="100"/>
          <w:spacing w:val="0"/>
          <w:color w:val="000000"/>
          <w:position w:val="0"/>
        </w:rPr>
        <w:t>24.10.2017 № 06/12074</w:t>
      </w:r>
    </w:p>
    <w:p>
      <w:pPr>
        <w:pStyle w:val="Style7"/>
        <w:framePr w:w="4941" w:h="2699" w:wrap="around" w:vAnchor="text" w:hAnchor="margin" w:x="-23" w:y="95"/>
        <w:widowControl w:val="0"/>
        <w:keepNext w:val="0"/>
        <w:keepLines w:val="0"/>
        <w:shd w:val="clear" w:color="auto" w:fill="auto"/>
        <w:bidi w:val="0"/>
        <w:jc w:val="left"/>
        <w:spacing w:before="0" w:after="0" w:line="210" w:lineRule="exact"/>
        <w:ind w:left="20" w:right="0" w:firstLine="0"/>
      </w:pPr>
      <w:r>
        <w:rPr>
          <w:lang w:val="ru-RU" w:eastAsia="ru-RU" w:bidi="ru-RU"/>
          <w:w w:val="100"/>
          <w:spacing w:val="0"/>
          <w:color w:val="000000"/>
          <w:position w:val="0"/>
        </w:rPr>
        <w:t>На № 942/103520 от 09.10.2017</w:t>
      </w:r>
    </w:p>
    <w:p>
      <w:pPr>
        <w:pStyle w:val="Style9"/>
        <w:numPr>
          <w:ilvl w:val="0"/>
          <w:numId w:val="1"/>
        </w:numPr>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 xml:space="preserve"> Заявитель:</w:t>
      </w:r>
    </w:p>
    <w:p>
      <w:pPr>
        <w:pStyle w:val="Style9"/>
        <w:widowControl w:val="0"/>
        <w:keepNext w:val="0"/>
        <w:keepLines w:val="0"/>
        <w:shd w:val="clear" w:color="auto" w:fill="auto"/>
        <w:bidi w:val="0"/>
        <w:jc w:val="left"/>
        <w:spacing w:before="0" w:after="304"/>
        <w:ind w:left="20" w:right="340" w:firstLine="0"/>
      </w:pPr>
      <w:r>
        <w:rPr>
          <w:lang w:val="ru-RU" w:eastAsia="ru-RU" w:bidi="ru-RU"/>
          <w:w w:val="100"/>
          <w:spacing w:val="0"/>
          <w:color w:val="000000"/>
          <w:position w:val="0"/>
        </w:rPr>
        <w:t>Акционерное общество «ГАРО-Трейд» 173003, г. Великий Новгород, ул. Б. Санкт-Петербургская, д. 64</w:t>
      </w:r>
    </w:p>
    <w:p>
      <w:pPr>
        <w:pStyle w:val="Style9"/>
        <w:numPr>
          <w:ilvl w:val="0"/>
          <w:numId w:val="1"/>
        </w:numPr>
        <w:widowControl w:val="0"/>
        <w:keepNext w:val="0"/>
        <w:keepLines w:val="0"/>
        <w:shd w:val="clear" w:color="auto" w:fill="auto"/>
        <w:bidi w:val="0"/>
        <w:jc w:val="left"/>
        <w:spacing w:before="0" w:after="0" w:line="317" w:lineRule="exact"/>
        <w:ind w:left="20" w:right="0" w:firstLine="0"/>
      </w:pPr>
      <w:r>
        <w:rPr>
          <w:lang w:val="ru-RU" w:eastAsia="ru-RU" w:bidi="ru-RU"/>
          <w:w w:val="100"/>
          <w:spacing w:val="0"/>
          <w:color w:val="000000"/>
          <w:position w:val="0"/>
        </w:rPr>
        <w:t xml:space="preserve"> Заказчик:</w:t>
      </w:r>
    </w:p>
    <w:p>
      <w:pPr>
        <w:pStyle w:val="Style9"/>
        <w:widowControl w:val="0"/>
        <w:keepNext w:val="0"/>
        <w:keepLines w:val="0"/>
        <w:shd w:val="clear" w:color="auto" w:fill="auto"/>
        <w:bidi w:val="0"/>
        <w:jc w:val="left"/>
        <w:spacing w:before="0" w:after="540" w:line="317" w:lineRule="exact"/>
        <w:ind w:left="20" w:right="180" w:firstLine="0"/>
      </w:pPr>
      <w:r>
        <w:rPr>
          <w:lang w:val="ru-RU" w:eastAsia="ru-RU" w:bidi="ru-RU"/>
          <w:w w:val="100"/>
          <w:spacing w:val="0"/>
          <w:color w:val="000000"/>
          <w:position w:val="0"/>
        </w:rPr>
        <w:t>Г осударственное унитарное предприятие Республики Крым «Черноморнефтегаз» 295034, Республика Крым, г. Симферополь, пр-кт Кирова, д. 52</w:t>
      </w:r>
    </w:p>
    <w:p>
      <w:pPr>
        <w:pStyle w:val="Style9"/>
        <w:widowControl w:val="0"/>
        <w:keepNext w:val="0"/>
        <w:keepLines w:val="0"/>
        <w:shd w:val="clear" w:color="auto" w:fill="auto"/>
        <w:bidi w:val="0"/>
        <w:jc w:val="left"/>
        <w:spacing w:before="0" w:after="0" w:line="317" w:lineRule="exact"/>
        <w:ind w:left="5040" w:right="0" w:firstLine="0"/>
      </w:pPr>
      <w:r>
        <w:rPr>
          <w:lang w:val="ru-RU" w:eastAsia="ru-RU" w:bidi="ru-RU"/>
          <w:w w:val="100"/>
          <w:spacing w:val="0"/>
          <w:color w:val="000000"/>
          <w:position w:val="0"/>
        </w:rPr>
        <w:t>ение</w:t>
      </w:r>
    </w:p>
    <w:p>
      <w:pPr>
        <w:pStyle w:val="Style9"/>
        <w:widowControl w:val="0"/>
        <w:keepNext w:val="0"/>
        <w:keepLines w:val="0"/>
        <w:shd w:val="clear" w:color="auto" w:fill="auto"/>
        <w:bidi w:val="0"/>
        <w:jc w:val="center"/>
        <w:spacing w:before="0" w:after="226" w:line="317" w:lineRule="exact"/>
        <w:ind w:left="20" w:right="0" w:firstLine="0"/>
      </w:pPr>
      <w:r>
        <w:rPr>
          <w:lang w:val="ru-RU" w:eastAsia="ru-RU" w:bidi="ru-RU"/>
          <w:w w:val="100"/>
          <w:spacing w:val="0"/>
          <w:color w:val="000000"/>
          <w:position w:val="0"/>
        </w:rPr>
        <w:t>о возвращении жалобы (дело №06/4057-17)</w:t>
      </w:r>
    </w:p>
    <w:p>
      <w:pPr>
        <w:pStyle w:val="Style9"/>
        <w:tabs>
          <w:tab w:leader="none" w:pos="8001" w:val="left"/>
        </w:tabs>
        <w:widowControl w:val="0"/>
        <w:keepNext w:val="0"/>
        <w:keepLines w:val="0"/>
        <w:shd w:val="clear" w:color="auto" w:fill="auto"/>
        <w:bidi w:val="0"/>
        <w:jc w:val="both"/>
        <w:spacing w:before="0" w:after="188" w:line="260" w:lineRule="exact"/>
        <w:ind w:left="220" w:right="0" w:firstLine="0"/>
      </w:pPr>
      <w:r>
        <w:rPr>
          <w:lang w:val="ru-RU" w:eastAsia="ru-RU" w:bidi="ru-RU"/>
          <w:w w:val="100"/>
          <w:spacing w:val="0"/>
          <w:color w:val="000000"/>
          <w:position w:val="0"/>
        </w:rPr>
        <w:t>24.10.2017</w:t>
        <w:tab/>
        <w:t>г. Симферополь</w:t>
      </w:r>
    </w:p>
    <w:p>
      <w:pPr>
        <w:pStyle w:val="Style9"/>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9"/>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9"/>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w:t>
      </w:r>
    </w:p>
    <w:p>
      <w:pPr>
        <w:pStyle w:val="Style9"/>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члена Комиссии - главного специалиста-эксперта отдела контроля закупок Крымского УФАС России Е. А. Аксёновой, -</w:t>
      </w:r>
    </w:p>
    <w:p>
      <w:pPr>
        <w:pStyle w:val="Style9"/>
        <w:widowControl w:val="0"/>
        <w:keepNext w:val="0"/>
        <w:keepLines w:val="0"/>
        <w:shd w:val="clear" w:color="auto" w:fill="auto"/>
        <w:bidi w:val="0"/>
        <w:jc w:val="both"/>
        <w:spacing w:before="0" w:after="180"/>
        <w:ind w:left="20" w:right="20" w:firstLine="860"/>
      </w:pPr>
      <w:r>
        <w:rPr>
          <w:lang w:val="ru-RU" w:eastAsia="ru-RU" w:bidi="ru-RU"/>
          <w:w w:val="100"/>
          <w:spacing w:val="0"/>
          <w:color w:val="000000"/>
          <w:position w:val="0"/>
        </w:rPr>
        <w:t>рассмотрев жалобу Заявителя от 09.10.2017 № 942/103520 (вх. №4642/09 от 23.10.2017) на действия Заказчика при проведении электронного аукциона «Стенд для разборки и сборки двигателей, узлов и агрегатов» (извещение № 0575200001017000130) (далее - Аукцион),</w:t>
      </w:r>
    </w:p>
    <w:p>
      <w:pPr>
        <w:pStyle w:val="Style9"/>
        <w:widowControl w:val="0"/>
        <w:keepNext w:val="0"/>
        <w:keepLines w:val="0"/>
        <w:shd w:val="clear" w:color="auto" w:fill="auto"/>
        <w:bidi w:val="0"/>
        <w:jc w:val="center"/>
        <w:spacing w:before="0" w:after="0"/>
        <w:ind w:left="20" w:right="0" w:firstLine="0"/>
      </w:pPr>
      <w:r>
        <w:rPr>
          <w:lang w:val="ru-RU" w:eastAsia="ru-RU" w:bidi="ru-RU"/>
          <w:w w:val="100"/>
          <w:spacing w:val="0"/>
          <w:color w:val="000000"/>
          <w:position w:val="0"/>
        </w:rPr>
        <w:t>УСТАНОВИЛА:</w:t>
      </w:r>
    </w:p>
    <w:p>
      <w:pPr>
        <w:pStyle w:val="Style9"/>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частью 1 статьи 105 Федерального закона от 05.04.2013 №44-ФЗ «О контрактной системе в сфере закупок товаров, работ, услуг для обеспечения государственных и муниципальных нужд» (с изменениями) (далее - Закон о контрактной системе), 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главой 6 Закона о</w:t>
        <w:br w:type="page"/>
        <w:t>контрактной системе,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если такие действия (бездействие) нарушают права и законные интересы участника закупки.</w:t>
      </w:r>
    </w:p>
    <w:p>
      <w:pPr>
        <w:pStyle w:val="Style9"/>
        <w:widowControl w:val="0"/>
        <w:keepNext w:val="0"/>
        <w:keepLines w:val="0"/>
        <w:shd w:val="clear" w:color="auto" w:fill="auto"/>
        <w:bidi w:val="0"/>
        <w:jc w:val="both"/>
        <w:spacing w:before="0" w:after="0"/>
        <w:ind w:left="20" w:right="20" w:firstLine="540"/>
      </w:pPr>
      <w:r>
        <w:rPr>
          <w:lang w:val="ru-RU" w:eastAsia="ru-RU" w:bidi="ru-RU"/>
          <w:w w:val="100"/>
          <w:spacing w:val="0"/>
          <w:color w:val="000000"/>
          <w:position w:val="0"/>
        </w:rPr>
        <w:t>Частью 4 статьи 105 Закона о контрактной системе определено, что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в случае, если данные действия (бездействие) совершены при определении поставщика (подрядчика, исполнителя) путем электронного аукциона, осуществляется в порядке, установленном настоящей главой, в любое время определения поставщика (подрядчика, исполнителя), а также в период аккредитации на электронной площадке, но не позднее чем через десять дней с даты размещения на электронной площадке протокола подведения результатов такого аукциона либо протокола рассмотрения заявок на участие в таком аукционе или протокола проведения такого аукциона в случае признания такого аукциона несостоявшимся. Жалоба на положения документации о таком аукционе может быть подана участником закупки до окончания срока подачи заявок на участие в таком аукционе. При этом в случае, если обжалуемые действия (бездействие) совершены после начала рассмотрения заявок на участие в таком аукционе, обжалование данных действий (бездействия) может осуществляться только участником закупки, подавшим заявку на участие в таком аукционе. В случае, если обжалуемые действия (бездействие) совершены при рассмотрении вторых частей заявок на участие в электронном аукционе или при заключении контракта, обжалование данных действий (бездействия) осуществляется до заключения контракта. По истечении указанных сроков обжалование данных действий (бездействия) заказчика, уполномоченного органа, уполномоченного учреждения, специализированной организации, оператора электронной площадки, аукционной комиссии осуществляется только в судебном порядке.</w:t>
      </w:r>
    </w:p>
    <w:p>
      <w:pPr>
        <w:pStyle w:val="Style9"/>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Комиссией установлено, что на официальном сайте Единой информационной системы в сфере закупок </w:t>
      </w:r>
      <w:r>
        <w:rPr>
          <w:lang w:val="en-US" w:eastAsia="en-US" w:bidi="en-US"/>
          <w:w w:val="100"/>
          <w:spacing w:val="0"/>
          <w:color w:val="000000"/>
          <w:position w:val="0"/>
        </w:rPr>
        <w:t>(</w:t>
      </w:r>
      <w:r>
        <w:fldChar w:fldCharType="begin"/>
      </w:r>
      <w:r>
        <w:rPr>
          <w:color w:val="000000"/>
        </w:rPr>
        <w:instrText> HYPERLINK "http://www.zakupki.gov.ru" </w:instrText>
      </w:r>
      <w:r>
        <w:fldChar w:fldCharType="separate"/>
      </w:r>
      <w:r>
        <w:rPr>
          <w:rStyle w:val="Hyperlink"/>
          <w:lang w:val="en-US" w:eastAsia="en-US" w:bidi="en-US"/>
          <w:w w:val="100"/>
          <w:spacing w:val="0"/>
          <w:position w:val="0"/>
        </w:rPr>
        <w:t>http://www.zakupki.gov.ru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(далее - официальный сайт) размещен Протокол рассмотрения единственной заявки от 29.09.2017 №0575200001017000130 (далее - итоговый протокол).</w:t>
      </w:r>
    </w:p>
    <w:p>
      <w:pPr>
        <w:pStyle w:val="Style9"/>
        <w:widowControl w:val="0"/>
        <w:keepNext w:val="0"/>
        <w:keepLines w:val="0"/>
        <w:shd w:val="clear" w:color="auto" w:fill="auto"/>
        <w:bidi w:val="0"/>
        <w:jc w:val="both"/>
        <w:spacing w:before="0" w:after="0"/>
        <w:ind w:left="20" w:right="20" w:firstLine="540"/>
      </w:pPr>
      <w:r>
        <w:rPr>
          <w:lang w:val="ru-RU" w:eastAsia="ru-RU" w:bidi="ru-RU"/>
          <w:w w:val="100"/>
          <w:spacing w:val="0"/>
          <w:color w:val="000000"/>
          <w:position w:val="0"/>
        </w:rPr>
        <w:t>Вместе с тем, Заявитель подал жалобу на действия Аукционной комиссии Уполномоченного органа, Заказчика 19.10.2017, т.е. по истечению срока, предусмотренного частью 4 статьи 105 Закона о контрактной системе, а именно позднее 10-дневного срока обжалования с даты размещения итогового протокола.</w:t>
      </w:r>
    </w:p>
    <w:p>
      <w:pPr>
        <w:pStyle w:val="Style9"/>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Согласно пункту 3 части 11 статьи 105 Закона о контрактной системе жалоба возвращается подавшему ее лицу без рассмотрения в случае, если жалоба подана по истечении срока, предусмотренного статьей 105 Закона о контрактной системе.</w:t>
      </w:r>
      <w:r>
        <w:br w:type="page"/>
      </w:r>
    </w:p>
    <w:p>
      <w:pPr>
        <w:pStyle w:val="Style9"/>
        <w:widowControl w:val="0"/>
        <w:keepNext w:val="0"/>
        <w:keepLines w:val="0"/>
        <w:shd w:val="clear" w:color="auto" w:fill="auto"/>
        <w:bidi w:val="0"/>
        <w:jc w:val="both"/>
        <w:spacing w:before="0" w:after="0"/>
        <w:ind w:left="0" w:right="20" w:firstLine="840"/>
      </w:pPr>
      <w:r>
        <w:rPr>
          <w:lang w:val="ru-RU" w:eastAsia="ru-RU" w:bidi="ru-RU"/>
          <w:w w:val="100"/>
          <w:spacing w:val="0"/>
          <w:color w:val="000000"/>
          <w:position w:val="0"/>
        </w:rPr>
        <w:t>Таким образом, жалоба подана Заявителем с нарушением сроков, предусмотренных частью 4 статьи 105 Закона о контрактной системе, что в соответствии с пунктом 3 части 11 статьи 105 Закона о контрактной системе является основанием для возврата жалобы Заявителю без рассмотрения.</w:t>
      </w:r>
    </w:p>
    <w:p>
      <w:pPr>
        <w:pStyle w:val="Style9"/>
        <w:widowControl w:val="0"/>
        <w:keepNext w:val="0"/>
        <w:keepLines w:val="0"/>
        <w:shd w:val="clear" w:color="auto" w:fill="auto"/>
        <w:bidi w:val="0"/>
        <w:jc w:val="both"/>
        <w:spacing w:before="0" w:after="229"/>
        <w:ind w:left="0" w:right="20" w:firstLine="840"/>
      </w:pPr>
      <w:r>
        <w:rPr>
          <w:lang w:val="ru-RU" w:eastAsia="ru-RU" w:bidi="ru-RU"/>
          <w:w w:val="100"/>
          <w:spacing w:val="0"/>
          <w:color w:val="000000"/>
          <w:position w:val="0"/>
        </w:rPr>
        <w:t>На основании вышеизложенного, руководствуясь частями 4, 11 статьи 105 Закона о контрактной системе, Комиссия</w:t>
      </w:r>
    </w:p>
    <w:p>
      <w:pPr>
        <w:pStyle w:val="Style9"/>
        <w:widowControl w:val="0"/>
        <w:keepNext w:val="0"/>
        <w:keepLines w:val="0"/>
        <w:shd w:val="clear" w:color="auto" w:fill="auto"/>
        <w:bidi w:val="0"/>
        <w:jc w:val="left"/>
        <w:spacing w:before="0" w:after="237" w:line="260" w:lineRule="exact"/>
        <w:ind w:left="4840" w:right="0" w:firstLine="0"/>
      </w:pPr>
      <w:r>
        <w:rPr>
          <w:lang w:val="ru-RU" w:eastAsia="ru-RU" w:bidi="ru-RU"/>
          <w:w w:val="100"/>
          <w:spacing w:val="0"/>
          <w:color w:val="000000"/>
          <w:position w:val="0"/>
        </w:rPr>
        <w:t>РЕШИЛА:</w:t>
      </w:r>
    </w:p>
    <w:p>
      <w:pPr>
        <w:pStyle w:val="Style9"/>
        <w:widowControl w:val="0"/>
        <w:keepNext w:val="0"/>
        <w:keepLines w:val="0"/>
        <w:shd w:val="clear" w:color="auto" w:fill="auto"/>
        <w:bidi w:val="0"/>
        <w:jc w:val="both"/>
        <w:spacing w:before="0" w:after="188" w:line="260" w:lineRule="exact"/>
        <w:ind w:left="0" w:right="0" w:firstLine="840"/>
      </w:pPr>
      <w:r>
        <w:rPr>
          <w:lang w:val="ru-RU" w:eastAsia="ru-RU" w:bidi="ru-RU"/>
          <w:w w:val="100"/>
          <w:spacing w:val="0"/>
          <w:color w:val="000000"/>
          <w:position w:val="0"/>
        </w:rPr>
        <w:t>Возвратить жалобу Заявителя без рассмотрения.</w:t>
      </w:r>
    </w:p>
    <w:p>
      <w:pPr>
        <w:pStyle w:val="Style9"/>
        <w:widowControl w:val="0"/>
        <w:keepNext w:val="0"/>
        <w:keepLines w:val="0"/>
        <w:shd w:val="clear" w:color="auto" w:fill="auto"/>
        <w:bidi w:val="0"/>
        <w:jc w:val="both"/>
        <w:spacing w:before="0" w:after="343"/>
        <w:ind w:left="0" w:right="20" w:firstLine="840"/>
      </w:pPr>
      <w:r>
        <w:rPr>
          <w:lang w:val="ru-RU" w:eastAsia="ru-RU" w:bidi="ru-RU"/>
          <w:w w:val="100"/>
          <w:spacing w:val="0"/>
          <w:color w:val="000000"/>
          <w:position w:val="0"/>
        </w:rPr>
        <w:t>Решение о возвращении жалобы может быть обжаловано в судебном порядке.</w:t>
      </w:r>
    </w:p>
    <w:p>
      <w:pPr>
        <w:pStyle w:val="Style9"/>
        <w:tabs>
          <w:tab w:leader="none" w:pos="8057" w:val="right"/>
          <w:tab w:leader="none" w:pos="8390" w:val="right"/>
          <w:tab w:leader="none" w:pos="9607"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Председатель Комиссии</w:t>
        <w:tab/>
        <w:t>М.</w:t>
        <w:tab/>
        <w:t>С.</w:t>
        <w:tab/>
        <w:t>Муравьёв</w:t>
      </w:r>
    </w:p>
    <w:p>
      <w:pPr>
        <w:pStyle w:val="Style9"/>
        <w:framePr w:h="240" w:wrap="around" w:vAnchor="text" w:hAnchor="margin" w:x="7703" w:y="644"/>
        <w:widowControl w:val="0"/>
        <w:keepNext w:val="0"/>
        <w:keepLines w:val="0"/>
        <w:shd w:val="clear" w:color="auto" w:fill="auto"/>
        <w:bidi w:val="0"/>
        <w:jc w:val="left"/>
        <w:spacing w:before="0" w:after="0" w:line="240" w:lineRule="exact"/>
        <w:ind w:left="100" w:right="0" w:firstLine="0"/>
      </w:pPr>
      <w:r>
        <w:rPr>
          <w:rStyle w:val="CharStyle10"/>
          <w:spacing w:val="0"/>
        </w:rPr>
        <w:t>Е. А. Аксёнова</w:t>
      </w:r>
    </w:p>
    <w:p>
      <w:pPr>
        <w:pStyle w:val="Style9"/>
        <w:tabs>
          <w:tab w:leader="none" w:pos="9607" w:val="right"/>
          <w:tab w:leader="none" w:pos="8371" w:val="right"/>
          <w:tab w:leader="none" w:pos="9547"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9"/>
        <w:widowControl w:val="0"/>
        <w:keepNext w:val="0"/>
        <w:keepLines w:val="0"/>
        <w:shd w:val="clear" w:color="auto" w:fill="auto"/>
        <w:bidi w:val="0"/>
        <w:jc w:val="both"/>
        <w:spacing w:before="0" w:after="0" w:line="260" w:lineRule="exact"/>
        <w:ind w:left="0" w:right="0" w:firstLine="0"/>
      </w:pPr>
      <w:r>
        <w:rPr>
          <w:lang w:val="ru-RU" w:eastAsia="ru-RU" w:bidi="ru-RU"/>
          <w:w w:val="100"/>
          <w:spacing w:val="0"/>
          <w:color w:val="000000"/>
          <w:position w:val="0"/>
        </w:rPr>
        <w:t>Член Комиссии:</w:t>
      </w:r>
    </w:p>
    <w:sectPr>
      <w:footnotePr>
        <w:pos w:val="pageBottom"/>
        <w:numFmt w:val="decimal"/>
        <w:numRestart w:val="continuous"/>
      </w:footnotePr>
      <w:type w:val="continuous"/>
      <w:pgSz w:w="11906" w:h="16838"/>
      <w:pgMar w:top="1314" w:left="923" w:right="870" w:bottom="1084"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 Exact"/>
    <w:basedOn w:val="DefaultParagraphFont"/>
    <w:rPr>
      <w:b/>
      <w:bCs/>
      <w:i w:val="0"/>
      <w:iCs w:val="0"/>
      <w:u w:val="none"/>
      <w:strike w:val="0"/>
      <w:smallCaps w:val="0"/>
      <w:sz w:val="21"/>
      <w:szCs w:val="21"/>
      <w:rFonts w:ascii="Times New Roman" w:eastAsia="Times New Roman" w:hAnsi="Times New Roman" w:cs="Times New Roman"/>
      <w:spacing w:val="1"/>
    </w:rPr>
  </w:style>
  <w:style w:type="character" w:customStyle="1" w:styleId="CharStyle6">
    <w:name w:val="Основной текст (3) Exact"/>
    <w:basedOn w:val="DefaultParagraphFont"/>
    <w:link w:val="Style5"/>
    <w:rPr>
      <w:b w:val="0"/>
      <w:bCs w:val="0"/>
      <w:i w:val="0"/>
      <w:iCs w:val="0"/>
      <w:u w:val="none"/>
      <w:strike w:val="0"/>
      <w:smallCaps w:val="0"/>
      <w:sz w:val="14"/>
      <w:szCs w:val="14"/>
      <w:rFonts w:ascii="Times New Roman" w:eastAsia="Times New Roman" w:hAnsi="Times New Roman" w:cs="Times New Roman"/>
      <w:spacing w:val="1"/>
    </w:rPr>
  </w:style>
  <w:style w:type="character" w:customStyle="1" w:styleId="CharStyle8">
    <w:name w:val="Основной текст (4) Exact"/>
    <w:basedOn w:val="DefaultParagraphFont"/>
    <w:link w:val="Style7"/>
    <w:rPr>
      <w:b w:val="0"/>
      <w:bCs w:val="0"/>
      <w:i w:val="0"/>
      <w:iCs w:val="0"/>
      <w:u w:val="none"/>
      <w:strike w:val="0"/>
      <w:smallCaps w:val="0"/>
      <w:sz w:val="21"/>
      <w:szCs w:val="21"/>
      <w:rFonts w:ascii="Times New Roman" w:eastAsia="Times New Roman" w:hAnsi="Times New Roman" w:cs="Times New Roman"/>
      <w:spacing w:val="4"/>
    </w:rPr>
  </w:style>
  <w:style w:type="character" w:customStyle="1" w:styleId="CharStyle10">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11">
    <w:name w:val="Основной текст (2)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12">
    <w:name w:val="Основной текст_"/>
    <w:basedOn w:val="DefaultParagraphFont"/>
    <w:link w:val="Style9"/>
    <w:rPr>
      <w:b w:val="0"/>
      <w:bCs w:val="0"/>
      <w:i w:val="0"/>
      <w:iCs w:val="0"/>
      <w:u w:val="none"/>
      <w:strike w:val="0"/>
      <w:smallCaps w:val="0"/>
      <w:sz w:val="26"/>
      <w:szCs w:val="26"/>
      <w:rFonts w:ascii="Times New Roman" w:eastAsia="Times New Roman" w:hAnsi="Times New Roman" w:cs="Times New Roman"/>
    </w:rPr>
  </w:style>
  <w:style w:type="paragraph" w:customStyle="1" w:styleId="Style3">
    <w:name w:val="Основной текст (2)"/>
    <w:basedOn w:val="Normal"/>
    <w:link w:val="CharStyle11"/>
    <w:pPr>
      <w:widowControl w:val="0"/>
      <w:shd w:val="clear" w:color="auto" w:fill="FFFFFF"/>
      <w:jc w:val="center"/>
      <w:spacing w:before="60" w:after="60" w:line="278" w:lineRule="exact"/>
    </w:pPr>
    <w:rPr>
      <w:b/>
      <w:bCs/>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after="300" w:line="182" w:lineRule="exact"/>
    </w:pPr>
    <w:rPr>
      <w:b w:val="0"/>
      <w:bCs w:val="0"/>
      <w:i w:val="0"/>
      <w:iCs w:val="0"/>
      <w:u w:val="none"/>
      <w:strike w:val="0"/>
      <w:smallCaps w:val="0"/>
      <w:sz w:val="14"/>
      <w:szCs w:val="14"/>
      <w:rFonts w:ascii="Times New Roman" w:eastAsia="Times New Roman" w:hAnsi="Times New Roman" w:cs="Times New Roman"/>
      <w:spacing w:val="1"/>
    </w:rPr>
  </w:style>
  <w:style w:type="paragraph" w:customStyle="1" w:styleId="Style7">
    <w:name w:val="Основной текст (4)"/>
    <w:basedOn w:val="Normal"/>
    <w:link w:val="CharStyle8"/>
    <w:pPr>
      <w:widowControl w:val="0"/>
      <w:shd w:val="clear" w:color="auto" w:fill="FFFFFF"/>
      <w:spacing w:before="300" w:after="300" w:line="0" w:lineRule="exact"/>
    </w:pPr>
    <w:rPr>
      <w:b w:val="0"/>
      <w:bCs w:val="0"/>
      <w:i w:val="0"/>
      <w:iCs w:val="0"/>
      <w:u w:val="none"/>
      <w:strike w:val="0"/>
      <w:smallCaps w:val="0"/>
      <w:sz w:val="21"/>
      <w:szCs w:val="21"/>
      <w:rFonts w:ascii="Times New Roman" w:eastAsia="Times New Roman" w:hAnsi="Times New Roman" w:cs="Times New Roman"/>
      <w:spacing w:val="4"/>
    </w:rPr>
  </w:style>
  <w:style w:type="paragraph" w:customStyle="1" w:styleId="Style9">
    <w:name w:val="Основной текст"/>
    <w:basedOn w:val="Normal"/>
    <w:link w:val="CharStyle12"/>
    <w:pPr>
      <w:widowControl w:val="0"/>
      <w:shd w:val="clear" w:color="auto" w:fill="FFFFFF"/>
      <w:spacing w:before="60" w:line="322" w:lineRule="exact"/>
    </w:pPr>
    <w:rPr>
      <w:b w:val="0"/>
      <w:bCs w:val="0"/>
      <w:i w:val="0"/>
      <w:iCs w:val="0"/>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