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74" w:h="2892" w:wrap="around" w:hAnchor="margin" w:x="-71" w:y="1304"/>
        <w:widowControl w:val="0"/>
        <w:keepNext w:val="0"/>
        <w:keepLines w:val="0"/>
        <w:shd w:val="clear" w:color="auto" w:fill="auto"/>
        <w:bidi w:val="0"/>
        <w:spacing w:before="0" w:after="180"/>
        <w:ind w:left="20" w:right="0" w:firstLine="0"/>
      </w:pPr>
      <w:r>
        <w:rPr>
          <w:lang w:val="ru-RU" w:eastAsia="ru-RU" w:bidi="ru-RU"/>
          <w:w w:val="100"/>
          <w:spacing w:val="0"/>
          <w:color w:val="000000"/>
          <w:position w:val="0"/>
        </w:rPr>
        <w:t>ФЕДЕРАЛЬНАЯ АНТИМОНОПОЛЬНАЯ СЛУЖБА</w:t>
      </w:r>
    </w:p>
    <w:p>
      <w:pPr>
        <w:pStyle w:val="Style3"/>
        <w:framePr w:w="4874" w:h="2892" w:wrap="around" w:hAnchor="margin" w:x="-71" w:y="1304"/>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74" w:h="2892" w:wrap="around" w:hAnchor="margin" w:x="-71" w:y="1304"/>
        <w:widowControl w:val="0"/>
        <w:keepNext w:val="0"/>
        <w:keepLines w:val="0"/>
        <w:shd w:val="clear" w:color="auto" w:fill="auto"/>
        <w:bidi w:val="0"/>
        <w:spacing w:before="0" w:after="254"/>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74" w:h="2892" w:wrap="around" w:hAnchor="margin" w:x="-71" w:y="1304"/>
        <w:widowControl w:val="0"/>
        <w:keepNext w:val="0"/>
        <w:keepLines w:val="0"/>
        <w:shd w:val="clear" w:color="auto" w:fill="auto"/>
        <w:bidi w:val="0"/>
        <w:jc w:val="left"/>
        <w:spacing w:before="0" w:after="0" w:line="240" w:lineRule="exact"/>
        <w:ind w:left="20" w:right="0" w:firstLine="0"/>
      </w:pPr>
      <w:r>
        <w:rPr>
          <w:rStyle w:val="CharStyle8"/>
          <w:spacing w:val="0"/>
        </w:rPr>
        <w:t>30.10.2017 №06/12346</w:t>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640" w:firstLine="0"/>
      </w:pPr>
      <w:r>
        <w:rPr>
          <w:lang w:val="ru-RU" w:eastAsia="ru-RU" w:bidi="ru-RU"/>
          <w:w w:val="100"/>
          <w:spacing w:val="0"/>
          <w:color w:val="000000"/>
          <w:position w:val="0"/>
        </w:rPr>
        <w:t>Государственное бюджетное учреждение Республики Крым «Красногвардейский психоневрологический интернат»</w:t>
      </w:r>
    </w:p>
    <w:p>
      <w:pPr>
        <w:pStyle w:val="Style7"/>
        <w:framePr w:h="245" w:wrap="around" w:vAnchor="text" w:hAnchor="margin" w:x="-81" w:y="716"/>
        <w:widowControl w:val="0"/>
        <w:keepNext w:val="0"/>
        <w:keepLines w:val="0"/>
        <w:shd w:val="clear" w:color="auto" w:fill="auto"/>
        <w:bidi w:val="0"/>
        <w:jc w:val="left"/>
        <w:spacing w:before="0" w:after="0" w:line="240" w:lineRule="exact"/>
        <w:ind w:left="0" w:right="0" w:firstLine="0"/>
      </w:pPr>
      <w:r>
        <w:rPr>
          <w:rStyle w:val="CharStyle8"/>
          <w:spacing w:val="0"/>
        </w:rPr>
        <w:t>На № б/н, б/н</w:t>
      </w:r>
    </w:p>
    <w:p>
      <w:pPr>
        <w:pStyle w:val="Style7"/>
        <w:widowControl w:val="0"/>
        <w:keepNext w:val="0"/>
        <w:keepLines w:val="0"/>
        <w:shd w:val="clear" w:color="auto" w:fill="auto"/>
        <w:bidi w:val="0"/>
        <w:jc w:val="left"/>
        <w:spacing w:before="0" w:after="0"/>
        <w:ind w:left="0" w:right="640" w:firstLine="0"/>
      </w:pPr>
      <w:r>
        <w:rPr>
          <w:lang w:val="ru-RU" w:eastAsia="ru-RU" w:bidi="ru-RU"/>
          <w:w w:val="100"/>
          <w:spacing w:val="0"/>
          <w:color w:val="000000"/>
          <w:position w:val="0"/>
        </w:rPr>
        <w:t>297041, Республика Крым, с. Некрасово, ул. Комсомольская, д. 15</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64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240"/>
        <w:ind w:left="4980" w:right="640" w:firstLine="0"/>
      </w:pPr>
      <w:r>
        <w:rPr>
          <w:lang w:val="ru-RU" w:eastAsia="ru-RU" w:bidi="ru-RU"/>
          <w:w w:val="100"/>
          <w:spacing w:val="0"/>
          <w:color w:val="000000"/>
          <w:position w:val="0"/>
        </w:rPr>
        <w:t>295034, Республика Крым, г. Симферополь, пр. Кирова, д. 13</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640" w:firstLine="0"/>
      </w:pPr>
      <w:r>
        <w:rPr>
          <w:lang w:val="ru-RU" w:eastAsia="ru-RU" w:bidi="ru-RU"/>
          <w:w w:val="100"/>
          <w:spacing w:val="0"/>
          <w:color w:val="000000"/>
          <w:position w:val="0"/>
        </w:rPr>
        <w:t>Общество с ограниченной ответственностью «Севзеленград»</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420107, Республика Татарстан, г. Казань,</w:t>
      </w:r>
    </w:p>
    <w:p>
      <w:pPr>
        <w:pStyle w:val="Style7"/>
        <w:widowControl w:val="0"/>
        <w:keepNext w:val="0"/>
        <w:keepLines w:val="0"/>
        <w:shd w:val="clear" w:color="auto" w:fill="auto"/>
        <w:bidi w:val="0"/>
        <w:jc w:val="left"/>
        <w:spacing w:before="0" w:after="289"/>
        <w:ind w:left="4980" w:right="0" w:firstLine="0"/>
      </w:pPr>
      <w:r>
        <w:rPr>
          <w:lang w:val="ru-RU" w:eastAsia="ru-RU" w:bidi="ru-RU"/>
          <w:w w:val="100"/>
          <w:spacing w:val="0"/>
          <w:color w:val="000000"/>
          <w:position w:val="0"/>
        </w:rPr>
        <w:t>Ул. Островского, д. 67, пом. 11, ком. 1</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640" w:firstLine="0"/>
      </w:pPr>
      <w:r>
        <w:rPr>
          <w:lang w:val="ru-RU" w:eastAsia="ru-RU" w:bidi="ru-RU"/>
          <w:w w:val="100"/>
          <w:spacing w:val="0"/>
          <w:color w:val="000000"/>
          <w:position w:val="0"/>
        </w:rPr>
        <w:t>ОАО «Единая Электронная Торговая Площадка» ОАО «ЕЭТП»</w:t>
      </w:r>
    </w:p>
    <w:p>
      <w:pPr>
        <w:pStyle w:val="Style7"/>
        <w:widowControl w:val="0"/>
        <w:keepNext w:val="0"/>
        <w:keepLines w:val="0"/>
        <w:shd w:val="clear" w:color="auto" w:fill="auto"/>
        <w:bidi w:val="0"/>
        <w:jc w:val="left"/>
        <w:spacing w:before="0" w:after="240"/>
        <w:ind w:left="4980" w:right="64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289"/>
        <w:ind w:left="260" w:right="0" w:firstLine="0"/>
      </w:pPr>
      <w:r>
        <w:rPr>
          <w:lang w:val="ru-RU" w:eastAsia="ru-RU" w:bidi="ru-RU"/>
          <w:w w:val="100"/>
          <w:spacing w:val="0"/>
          <w:color w:val="000000"/>
          <w:position w:val="0"/>
        </w:rPr>
        <w:t>Решение по делу №06/4060-17 о нарушении законодательства Российской Федерации о контрактной системе в сфере закупок</w:t>
      </w:r>
    </w:p>
    <w:p>
      <w:pPr>
        <w:pStyle w:val="Style7"/>
        <w:tabs>
          <w:tab w:leader="none" w:pos="8262" w:val="right"/>
          <w:tab w:leader="none" w:pos="8467"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27.10.2017</w:t>
        <w:tab/>
        <w:t>г.</w:t>
        <w:tab/>
        <w:t>Симферополь</w:t>
      </w:r>
    </w:p>
    <w:p>
      <w:pPr>
        <w:pStyle w:val="Style7"/>
        <w:widowControl w:val="0"/>
        <w:keepNext w:val="0"/>
        <w:keepLines w:val="0"/>
        <w:shd w:val="clear" w:color="auto" w:fill="auto"/>
        <w:bidi w:val="0"/>
        <w:jc w:val="both"/>
        <w:spacing w:before="0" w:after="0"/>
        <w:ind w:left="0" w:right="26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6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r>
        <w:br w:type="page"/>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Заказчика Э. С. Адамановой (по доверенности),</w:t>
      </w:r>
    </w:p>
    <w:p>
      <w:pPr>
        <w:pStyle w:val="Style7"/>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Заявителя А. М. Ишмуратова (по доверенности), —</w:t>
      </w:r>
    </w:p>
    <w:p>
      <w:pPr>
        <w:pStyle w:val="Style7"/>
        <w:widowControl w:val="0"/>
        <w:keepNext w:val="0"/>
        <w:keepLines w:val="0"/>
        <w:shd w:val="clear" w:color="auto" w:fill="auto"/>
        <w:bidi w:val="0"/>
        <w:jc w:val="both"/>
        <w:spacing w:before="0" w:after="229"/>
        <w:ind w:left="20" w:right="20" w:firstLine="860"/>
      </w:pPr>
      <w:r>
        <w:rPr>
          <w:lang w:val="ru-RU" w:eastAsia="ru-RU" w:bidi="ru-RU"/>
          <w:w w:val="100"/>
          <w:spacing w:val="0"/>
          <w:color w:val="000000"/>
          <w:position w:val="0"/>
        </w:rPr>
        <w:t>рассмотрев жалобу Заявителя б/н, б/д (вх. №4640/09 от 23.10.2017) на действия Заказчика при проведении электронного аукциона «Капитальное строительство Государственного бюджетного учреждения Республики Крым "Красногвардейский психоневрологический интернат" на 250 койко- мест с объектами инфраструктуры, необходимыми для его функционирования в соответствии с законодательством Российской Федерации, Республики Крым, Красногвардейский район, с.Некрасово» (номер извещения 0175200000417000131)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указавшим в техническом задании документации об Аукционе товарные знаки товаров, используемых при выполнении работ, без возможности использования эквивалентного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25.10.2017 №06/12083,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25.04.2017, изменения - 05.10.2017;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- 643 013 586,95 рублей;</w:t>
      </w:r>
    </w:p>
    <w:p>
      <w:pPr>
        <w:pStyle w:val="Style7"/>
        <w:numPr>
          <w:ilvl w:val="0"/>
          <w:numId w:val="3"/>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дата и время окончания подачи заявок: 23.10.2017 08:00, дата окончания срока рассмотрения первых частей заявок участников: 27.10.2017, дата проведения Аукциона: 30.10.2017.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доводам жалобы Заказчиком в техническом задании документации об Аукционе установлены торговые наименования товаров (материалов), используемых при выполнении работ без обязательной оговорки «или эквивалент», что ограничивает круг участников Аукциона и нарушает требования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капитального строительства здания Заказчика.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5"/>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5"/>
        </w:numPr>
        <w:tabs>
          <w:tab w:leader="none" w:pos="1254" w:val="left"/>
        </w:tabs>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 xml:space="preserve">Комиссия, изучив документацию об Аукционе, установила, что Заказчиком в техническом задании документации об Аукционе товары (материалы), используемые при выполнении работ по капитальному строительству здания Заказчика, описаны следующим образом: </w:t>
      </w:r>
      <w:r>
        <w:rPr>
          <w:rStyle w:val="CharStyle12"/>
        </w:rPr>
        <w:t>«...</w:t>
      </w:r>
    </w:p>
    <w:p>
      <w:pPr>
        <w:pStyle w:val="Style13"/>
        <w:widowControl w:val="0"/>
        <w:keepNext w:val="0"/>
        <w:keepLines w:val="0"/>
        <w:shd w:val="clear" w:color="auto" w:fill="auto"/>
        <w:bidi w:val="0"/>
        <w:spacing w:before="0" w:after="236"/>
        <w:ind w:left="20" w:right="20" w:firstLine="840"/>
      </w:pPr>
      <w:r>
        <w:rPr>
          <w:lang w:val="ru-RU" w:eastAsia="ru-RU" w:bidi="ru-RU"/>
          <w:w w:val="100"/>
          <w:spacing w:val="0"/>
          <w:color w:val="000000"/>
          <w:position w:val="0"/>
        </w:rPr>
        <w:t>Пленка пароизоляционная типа «ЮТАФОЛ». Материал должен состоять из трех слоев - основного - арматурная сетка, выполненная из полиэтиленовых полос, и двух внешних, изготовленных из полиэтиленовой пленки. На поверхности пленки не менее чем в 12 см от края должна быть расположена черная или серая полоска, которая показывает рекомендуемую площадь нахлеста и паронепроницаемое исполнение пленки. Теплостойкость материала - до (+80) °С (параметр неизменный), морозостойкость - до (-40) °С (параметр неизменный). Материал должен отвечать следующим техническим характеристикам: цвет маркировочной ленты - серый/черный.</w:t>
      </w:r>
    </w:p>
    <w:p>
      <w:pPr>
        <w:pStyle w:val="Style13"/>
        <w:widowControl w:val="0"/>
        <w:keepNext w:val="0"/>
        <w:keepLines w:val="0"/>
        <w:shd w:val="clear" w:color="auto" w:fill="auto"/>
        <w:bidi w:val="0"/>
        <w:spacing w:before="0" w:after="0" w:line="278" w:lineRule="exact"/>
        <w:ind w:left="20" w:right="20" w:firstLine="840"/>
      </w:pPr>
      <w:r>
        <w:rPr>
          <w:lang w:val="ru-RU" w:eastAsia="ru-RU" w:bidi="ru-RU"/>
          <w:w w:val="100"/>
          <w:spacing w:val="0"/>
          <w:color w:val="000000"/>
          <w:position w:val="0"/>
        </w:rPr>
        <w:t>Извещатель пожарный дымовой ДИП-34А. Чувствительность извещателя должна быть не уже множества значений от 0,05 до 0,2 дБ/м (включительно). Напряжение в линии связи должно</w:t>
        <w:br w:type="page"/>
        <w:t>быть не уже множества значений от 8В до 10В (включительно). Потребляемый ток до 0,5мА (включительно). Минимальная чувствительность извещателя не должна быть менее 0,02дБ/м.</w:t>
      </w:r>
    </w:p>
    <w:p>
      <w:pPr>
        <w:pStyle w:val="Style7"/>
        <w:widowControl w:val="0"/>
        <w:keepNext w:val="0"/>
        <w:keepLines w:val="0"/>
        <w:shd w:val="clear" w:color="auto" w:fill="auto"/>
        <w:bidi w:val="0"/>
        <w:jc w:val="both"/>
        <w:spacing w:before="0" w:after="0"/>
        <w:ind w:left="0" w:right="0" w:firstLine="860"/>
      </w:pPr>
      <w:r>
        <w:rPr>
          <w:rStyle w:val="CharStyle12"/>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В ходе заседания Комиссии представители Заказчика, Уполномоченного органа пояснили, что согласно Инструкции по заполнению первых частей заявок участников, содержащуюся в разделе </w:t>
      </w:r>
      <w:r>
        <w:rPr>
          <w:lang w:val="en-US" w:eastAsia="en-US" w:bidi="en-US"/>
          <w:w w:val="100"/>
          <w:spacing w:val="0"/>
          <w:color w:val="000000"/>
          <w:position w:val="0"/>
        </w:rPr>
        <w:t xml:space="preserve">VI, </w:t>
      </w:r>
      <w:r>
        <w:rPr>
          <w:lang w:val="ru-RU" w:eastAsia="ru-RU" w:bidi="ru-RU"/>
          <w:w w:val="100"/>
          <w:spacing w:val="0"/>
          <w:color w:val="000000"/>
          <w:position w:val="0"/>
        </w:rPr>
        <w:t>установлено, что эквивалентность предлагаемого товара будет устанавливаться по комплектности, всем показателям и их значениям, в том числе техническим и функциональным параметрам, установленным в Приложении №1 к разделу IV. ОПИСАНИЕ ОБЪЕКТА ЗАКУПКИ (ТЕХНИЧЕСКОЕ ЗАДАНИЕ) документации об аукционе. По всем поз</w:t>
      </w:r>
      <w:r>
        <w:rPr>
          <w:rStyle w:val="CharStyle15"/>
        </w:rPr>
        <w:t>ици</w:t>
      </w:r>
      <w:r>
        <w:rPr>
          <w:lang w:val="ru-RU" w:eastAsia="ru-RU" w:bidi="ru-RU"/>
          <w:w w:val="100"/>
          <w:spacing w:val="0"/>
          <w:color w:val="000000"/>
          <w:position w:val="0"/>
        </w:rPr>
        <w:t>ям материалов, в которых имеется указание на товарные знаки, следует считать «или эквивалент».</w:t>
      </w:r>
    </w:p>
    <w:p>
      <w:pPr>
        <w:pStyle w:val="Style7"/>
        <w:widowControl w:val="0"/>
        <w:keepNext w:val="0"/>
        <w:keepLines w:val="0"/>
        <w:shd w:val="clear" w:color="auto" w:fill="auto"/>
        <w:bidi w:val="0"/>
        <w:jc w:val="both"/>
        <w:spacing w:before="0" w:after="0"/>
        <w:ind w:left="0" w:right="160" w:firstLine="860"/>
      </w:pPr>
      <w:r>
        <w:rPr>
          <w:lang w:val="ru-RU" w:eastAsia="ru-RU" w:bidi="ru-RU"/>
          <w:w w:val="100"/>
          <w:spacing w:val="0"/>
          <w:color w:val="000000"/>
          <w:position w:val="0"/>
        </w:rPr>
        <w:t>Учитывая приведенное, Комиссия приходит к выводу, что действия Заказчика, указавшего в техническом задании документации об Аукционе торговое наименование товаров, предполагаемых использовать при выполнении работ, без обязательного условия включения в описание объекта закупки слов «или эквивалент», нарушают требования пункта 1 части 1 статьи 33, пункта 2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Вместе с тем, выявленные нарушения являются формальными и не влияют на результаты рассмотрения первых частей заявок участников и определение поставщика (подрядчика, исполнителя).</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60" w:right="0" w:firstLine="0"/>
      </w:pPr>
      <w:r>
        <w:rPr>
          <w:lang w:val="ru-RU" w:eastAsia="ru-RU" w:bidi="ru-RU"/>
          <w:w w:val="100"/>
          <w:spacing w:val="0"/>
          <w:color w:val="000000"/>
          <w:position w:val="0"/>
        </w:rPr>
        <w:t>РЕШИЛА:</w:t>
      </w:r>
    </w:p>
    <w:p>
      <w:pPr>
        <w:pStyle w:val="Style7"/>
        <w:numPr>
          <w:ilvl w:val="0"/>
          <w:numId w:val="7"/>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7"/>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№06/12083.</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629" w:left="797" w:right="639" w:bottom="10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w:basedOn w:val="CharStyle9"/>
    <w:rPr>
      <w:lang w:val="ru-RU" w:eastAsia="ru-RU" w:bidi="ru-RU"/>
      <w:u w:val="single"/>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after="240" w:line="274"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