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20" w:lineRule="exact"/>
        <w:ind w:left="56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240" w:line="274" w:lineRule="exact"/>
        <w:ind w:left="5620" w:right="240" w:firstLine="0"/>
      </w:pPr>
      <w:r>
        <w:rPr>
          <w:lang w:val="ru-RU" w:eastAsia="ru-RU" w:bidi="ru-RU"/>
          <w:w w:val="100"/>
          <w:spacing w:val="0"/>
          <w:color w:val="000000"/>
          <w:position w:val="0"/>
        </w:rPr>
        <w:t xml:space="preserve">МОУ Титовская средняя общеобразовательная школа д. Титово, с/п Титовское, д. 77а, Кимрский район, Тверская обл., 171521 Тел./факс 7643-48236-65252, </w:t>
      </w:r>
      <w:r>
        <w:fldChar w:fldCharType="begin"/>
      </w:r>
      <w:r>
        <w:rPr>
          <w:rStyle w:val="CharStyle5"/>
        </w:rPr>
        <w:instrText> HYPERLINK "mailto:nikitina_tvl@mail.ru" </w:instrText>
      </w:r>
      <w:r>
        <w:fldChar w:fldCharType="separate"/>
      </w:r>
      <w:r>
        <w:rPr>
          <w:rStyle w:val="Hyperlink"/>
        </w:rPr>
        <w:t>nikitina tvl@mail.ru</w:t>
      </w:r>
      <w:r>
        <w:fldChar w:fldCharType="end"/>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Администрация Кимрского района</w:t>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ул. Урицкого, д. 15, г. Кимры, Тверская</w:t>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обл., 171506</w:t>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тел: 8-48236-3-27-40</w:t>
      </w:r>
    </w:p>
    <w:p>
      <w:pPr>
        <w:pStyle w:val="Style3"/>
        <w:widowControl w:val="0"/>
        <w:keepNext w:val="0"/>
        <w:keepLines w:val="0"/>
        <w:shd w:val="clear" w:color="auto" w:fill="auto"/>
        <w:bidi w:val="0"/>
        <w:jc w:val="left"/>
        <w:spacing w:before="0" w:after="240" w:line="274" w:lineRule="exact"/>
        <w:ind w:left="5620" w:right="0" w:firstLine="0"/>
      </w:pPr>
      <w:r>
        <w:fldChar w:fldCharType="begin"/>
      </w:r>
      <w:r>
        <w:rPr>
          <w:color w:val="000000"/>
        </w:rPr>
        <w:instrText> HYPERLINK "mailto:glavakimry@region.tver.ru" </w:instrText>
      </w:r>
      <w:r>
        <w:fldChar w:fldCharType="separate"/>
      </w:r>
      <w:r>
        <w:rPr>
          <w:rStyle w:val="Hyperlink"/>
          <w:lang w:val="en-US" w:eastAsia="en-US" w:bidi="en-US"/>
          <w:w w:val="100"/>
          <w:spacing w:val="0"/>
          <w:position w:val="0"/>
        </w:rPr>
        <w:t>glavakimry@region.tver.ru</w:t>
      </w:r>
      <w:r>
        <w:fldChar w:fldCharType="end"/>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ООО «Перспектива»</w:t>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ул. Куйбышева, д.79, кв. 64, г. Самара,</w:t>
      </w:r>
    </w:p>
    <w:p>
      <w:pPr>
        <w:pStyle w:val="Style3"/>
        <w:widowControl w:val="0"/>
        <w:keepNext w:val="0"/>
        <w:keepLines w:val="0"/>
        <w:shd w:val="clear" w:color="auto" w:fill="auto"/>
        <w:bidi w:val="0"/>
        <w:jc w:val="left"/>
        <w:spacing w:before="0" w:after="0" w:line="274" w:lineRule="exact"/>
        <w:ind w:left="5620" w:right="0" w:firstLine="0"/>
      </w:pPr>
      <w:r>
        <w:rPr>
          <w:lang w:val="ru-RU" w:eastAsia="ru-RU" w:bidi="ru-RU"/>
          <w:w w:val="100"/>
          <w:spacing w:val="0"/>
          <w:color w:val="000000"/>
          <w:position w:val="0"/>
        </w:rPr>
        <w:t>443099</w:t>
      </w:r>
    </w:p>
    <w:p>
      <w:pPr>
        <w:pStyle w:val="Style3"/>
        <w:widowControl w:val="0"/>
        <w:keepNext w:val="0"/>
        <w:keepLines w:val="0"/>
        <w:shd w:val="clear" w:color="auto" w:fill="auto"/>
        <w:bidi w:val="0"/>
        <w:jc w:val="left"/>
        <w:spacing w:before="0" w:after="0" w:line="274" w:lineRule="exact"/>
        <w:ind w:left="5620" w:right="240" w:firstLine="0"/>
      </w:pPr>
      <w:r>
        <w:rPr>
          <w:lang w:val="ru-RU" w:eastAsia="ru-RU" w:bidi="ru-RU"/>
          <w:w w:val="100"/>
          <w:spacing w:val="0"/>
          <w:color w:val="000000"/>
          <w:position w:val="0"/>
        </w:rPr>
        <w:t xml:space="preserve">Тел: +7(9878) 914-800 </w:t>
      </w:r>
      <w:r>
        <w:rPr>
          <w:lang w:val="en-US" w:eastAsia="en-US" w:bidi="en-US"/>
          <w:w w:val="100"/>
          <w:spacing w:val="0"/>
          <w:color w:val="000000"/>
          <w:position w:val="0"/>
        </w:rPr>
        <w:t xml:space="preserve">e-mail: </w:t>
      </w:r>
      <w:r>
        <w:fldChar w:fldCharType="begin"/>
      </w:r>
      <w:r>
        <w:rPr>
          <w:color w:val="000000"/>
        </w:rPr>
        <w:instrText> HYPERLINK "mailto:pers-tender@mail.ru" </w:instrText>
      </w:r>
      <w:r>
        <w:fldChar w:fldCharType="separate"/>
      </w:r>
      <w:r>
        <w:rPr>
          <w:rStyle w:val="Hyperlink"/>
          <w:lang w:val="en-US" w:eastAsia="en-US" w:bidi="en-US"/>
          <w:w w:val="100"/>
          <w:spacing w:val="0"/>
          <w:position w:val="0"/>
        </w:rPr>
        <w:t>pers-tender@mail.ru</w:t>
      </w:r>
      <w:r>
        <w:fldChar w:fldCharType="end"/>
      </w:r>
    </w:p>
    <w:p>
      <w:pPr>
        <w:pStyle w:val="Style3"/>
        <w:numPr>
          <w:ilvl w:val="0"/>
          <w:numId w:val="1"/>
        </w:numPr>
        <w:tabs>
          <w:tab w:leader="none" w:pos="1231" w:val="left"/>
        </w:tabs>
        <w:widowControl w:val="0"/>
        <w:keepNext w:val="0"/>
        <w:keepLines w:val="0"/>
        <w:shd w:val="clear" w:color="auto" w:fill="auto"/>
        <w:bidi w:val="0"/>
        <w:jc w:val="both"/>
        <w:spacing w:before="0" w:after="267" w:line="274" w:lineRule="exact"/>
        <w:ind w:left="20" w:right="0" w:firstLine="0"/>
      </w:pPr>
      <w:r>
        <w:rPr>
          <w:lang w:val="ru-RU" w:eastAsia="ru-RU" w:bidi="ru-RU"/>
          <w:w w:val="100"/>
          <w:spacing w:val="0"/>
          <w:color w:val="000000"/>
          <w:position w:val="0"/>
        </w:rPr>
        <w:t>№ 05-6/1-256-4267ВФ</w:t>
      </w:r>
    </w:p>
    <w:p>
      <w:pPr>
        <w:pStyle w:val="Style6"/>
        <w:widowControl w:val="0"/>
        <w:keepNext/>
        <w:keepLines/>
        <w:shd w:val="clear" w:color="auto" w:fill="auto"/>
        <w:bidi w:val="0"/>
        <w:spacing w:before="0" w:after="304" w:line="240" w:lineRule="exact"/>
        <w:ind w:left="20" w:right="0" w:firstLine="0"/>
      </w:pPr>
      <w:bookmarkStart w:id="0" w:name="bookmark0"/>
      <w:r>
        <w:rPr>
          <w:lang w:val="ru-RU" w:eastAsia="ru-RU" w:bidi="ru-RU"/>
          <w:sz w:val="24"/>
          <w:szCs w:val="24"/>
          <w:w w:val="100"/>
          <w:spacing w:val="0"/>
          <w:color w:val="000000"/>
          <w:position w:val="0"/>
        </w:rPr>
        <w:t>Решение № 05-6/1-256-2017</w:t>
      </w:r>
      <w:bookmarkEnd w:id="0"/>
    </w:p>
    <w:p>
      <w:pPr>
        <w:pStyle w:val="Style3"/>
        <w:tabs>
          <w:tab w:leader="none" w:pos="9135" w:val="center"/>
          <w:tab w:leader="none" w:pos="9874" w:val="right"/>
        </w:tabs>
        <w:widowControl w:val="0"/>
        <w:keepNext w:val="0"/>
        <w:keepLines w:val="0"/>
        <w:shd w:val="clear" w:color="auto" w:fill="auto"/>
        <w:bidi w:val="0"/>
        <w:jc w:val="both"/>
        <w:spacing w:before="0" w:after="265" w:line="220" w:lineRule="exact"/>
        <w:ind w:left="20" w:right="0" w:firstLine="0"/>
      </w:pPr>
      <w:r>
        <w:rPr>
          <w:lang w:val="ru-RU" w:eastAsia="ru-RU" w:bidi="ru-RU"/>
          <w:w w:val="100"/>
          <w:spacing w:val="0"/>
          <w:color w:val="000000"/>
          <w:position w:val="0"/>
        </w:rPr>
        <w:t>30 октября 2017 года</w:t>
        <w:tab/>
        <w:t>г.</w:t>
        <w:tab/>
        <w:t>Тверь</w:t>
      </w:r>
    </w:p>
    <w:p>
      <w:pPr>
        <w:pStyle w:val="Style3"/>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 председатель Комиссии: Фомин В.М. - руководитель управления, члены Комиссии:</w:t>
      </w:r>
    </w:p>
    <w:p>
      <w:pPr>
        <w:pStyle w:val="Style3"/>
        <w:widowControl w:val="0"/>
        <w:keepNext w:val="0"/>
        <w:keepLines w:val="0"/>
        <w:shd w:val="clear" w:color="auto" w:fill="auto"/>
        <w:bidi w:val="0"/>
        <w:jc w:val="left"/>
        <w:spacing w:before="0" w:after="0" w:line="274" w:lineRule="exact"/>
        <w:ind w:left="20" w:right="0" w:firstLine="700"/>
      </w:pPr>
      <w:r>
        <w:rPr>
          <w:lang w:val="ru-RU" w:eastAsia="ru-RU" w:bidi="ru-RU"/>
          <w:w w:val="100"/>
          <w:spacing w:val="0"/>
          <w:color w:val="000000"/>
          <w:position w:val="0"/>
        </w:rPr>
        <w:t>Шибанов Я.А. - главный специалист-эксперт отдела контроля закупок,</w:t>
      </w:r>
    </w:p>
    <w:p>
      <w:pPr>
        <w:pStyle w:val="Style3"/>
        <w:widowControl w:val="0"/>
        <w:keepNext w:val="0"/>
        <w:keepLines w:val="0"/>
        <w:shd w:val="clear" w:color="auto" w:fill="auto"/>
        <w:bidi w:val="0"/>
        <w:jc w:val="left"/>
        <w:spacing w:before="0" w:after="0" w:line="274" w:lineRule="exact"/>
        <w:ind w:left="20" w:right="0" w:firstLine="700"/>
      </w:pPr>
      <w:r>
        <w:rPr>
          <w:lang w:val="ru-RU" w:eastAsia="ru-RU" w:bidi="ru-RU"/>
          <w:w w:val="100"/>
          <w:spacing w:val="0"/>
          <w:color w:val="000000"/>
          <w:position w:val="0"/>
        </w:rPr>
        <w:t>Кадичева Т.С. - специалист-эксперт отдела контроля закупок,</w:t>
      </w:r>
    </w:p>
    <w:p>
      <w:pPr>
        <w:pStyle w:val="Style3"/>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в присутствии представителей Администрации Кимрского района (далее - Уполномоченный орган): Логиновой Е.В. (по доверенности),</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отсутствие надлежащим образом извещенных о дате, времени и месте рассмотрения жалобы представителей МОУ Титовская средняя общеобразовательная школа (далее - Заказчик), ООО «Перспектива» (далее - Общество),</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pPr>
        <w:pStyle w:val="Style8"/>
        <w:widowControl w:val="0"/>
        <w:keepNext/>
        <w:keepLines/>
        <w:shd w:val="clear" w:color="auto" w:fill="auto"/>
        <w:bidi w:val="0"/>
        <w:jc w:val="left"/>
        <w:spacing w:before="0" w:after="206" w:line="240" w:lineRule="exact"/>
        <w:ind w:left="4320" w:right="0" w:firstLine="0"/>
      </w:pPr>
      <w:bookmarkStart w:id="1" w:name="bookmark1"/>
      <w:r>
        <w:rPr>
          <w:lang w:val="ru-RU" w:eastAsia="ru-RU" w:bidi="ru-RU"/>
          <w:sz w:val="24"/>
          <w:szCs w:val="24"/>
          <w:w w:val="100"/>
          <w:spacing w:val="0"/>
          <w:color w:val="000000"/>
          <w:position w:val="0"/>
        </w:rPr>
        <w:t>УСТАНОВИЛА:</w:t>
      </w:r>
      <w:bookmarkEnd w:id="1"/>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Тверское УФАС России 23.10.2017 поступила жалоба Общества о несоответствии положений документации об аукционе на право заключения контракта по выполнению работ по усилению конструкций фундамента существующего здания Муниципального общеобразовательного учреждения Титовская средняя общеобразовательная школа (извещение от 09.10.2017 № 0136300049517000047) требованиям Закона в части:</w:t>
      </w:r>
    </w:p>
    <w:p>
      <w:pPr>
        <w:pStyle w:val="Style3"/>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неуказания в извещении исчерпывающего перечня документов, которые должны быть представлены участниками аукциона в соответствии со статьей 31 Закона;</w:t>
      </w:r>
    </w:p>
    <w:p>
      <w:pPr>
        <w:pStyle w:val="Style3"/>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сокращения срока подачи разъяснений на один день;</w:t>
      </w:r>
    </w:p>
    <w:p>
      <w:pPr>
        <w:pStyle w:val="Style3"/>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установления ответственности заказчика и поставщика (подрядчика, исполнителя) за неисполнение или ненадлежащее исполнение обязательств, предусмотренных контрактом не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w:t>
      </w:r>
    </w:p>
    <w:p>
      <w:pPr>
        <w:pStyle w:val="Style3"/>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Уполномоченный орган представил письменные возражения на жалобу.</w:t>
      </w:r>
    </w:p>
    <w:p>
      <w:pPr>
        <w:pStyle w:val="Style3"/>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В результате изучения представленных документов, рассмотрения доводов жалобы, пояснений сторон Комиссия установила следующее:</w:t>
      </w:r>
    </w:p>
    <w:p>
      <w:pPr>
        <w:pStyle w:val="Style3"/>
        <w:numPr>
          <w:ilvl w:val="0"/>
          <w:numId w:val="5"/>
        </w:numPr>
        <w:tabs>
          <w:tab w:leader="none" w:pos="194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Уполномоченным органом на официальном сайте единой информационной системы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размещены извещение о проведении электронного аукциона на выполнение работ по усилению конструкций фундамента существующего здания Муниципального общеобразовательного учреждения Титовская средняя общеобразовательная школа; начальная (максимальная) цена контракта составляет 5 499 295, 60 руб.</w:t>
      </w:r>
    </w:p>
    <w:p>
      <w:pPr>
        <w:pStyle w:val="Style3"/>
        <w:widowControl w:val="0"/>
        <w:keepNext w:val="0"/>
        <w:keepLines w:val="0"/>
        <w:shd w:val="clear" w:color="auto" w:fill="auto"/>
        <w:bidi w:val="0"/>
        <w:jc w:val="both"/>
        <w:spacing w:before="0" w:after="236" w:line="274" w:lineRule="exact"/>
        <w:ind w:left="20" w:right="20" w:firstLine="720"/>
      </w:pPr>
      <w:r>
        <w:rPr>
          <w:lang w:val="ru-RU" w:eastAsia="ru-RU" w:bidi="ru-RU"/>
          <w:w w:val="100"/>
          <w:spacing w:val="0"/>
          <w:color w:val="000000"/>
          <w:position w:val="0"/>
        </w:rPr>
        <w:t>В соответствии с частью 1 статьи 59 Закона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numPr>
          <w:ilvl w:val="0"/>
          <w:numId w:val="7"/>
        </w:numPr>
        <w:tabs>
          <w:tab w:leader="none" w:pos="1024" w:val="left"/>
        </w:tabs>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Согласно части 1 статьи 63 Закона извещение о проведении электронного аукциона размещается заказчиком в единой информационной системе.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пункту 6 части 5 статьи 63 Закона в извещении о проведении электронного аукциона наряду с информацией, указанной в статье 42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а также требование, предъявляемое к участникам такого аукциона в соответствии с частью 1.1 (при наличии такого требования) статьи 31 Закона.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Комиссией установлено, что извещение о проведении электронного аукционе не содержит перечень документов, которые должны быть представлены участниками такого аукциона в соответствии со статьей 31 Закона, при том, что в документации об аукционе - с учетом предмета контракта, установлено требование о предоставлении участниками закупки во второй части заявки действующей выписки из реестра членов саморегулируемой организации в области строительства, реконструкции, капитального ремонта объекта капитального строительства, членом которой является участник закупки, по форме, утвержденной приказом Ростехнадзора от 16.02.2017 № 58.</w:t>
      </w:r>
    </w:p>
    <w:p>
      <w:pPr>
        <w:pStyle w:val="Style3"/>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Таким образом, уполномоченным органом нарушены требования пункта 6 части 5 статьи 63 Закона.</w:t>
      </w:r>
    </w:p>
    <w:p>
      <w:pPr>
        <w:pStyle w:val="Style3"/>
        <w:widowControl w:val="0"/>
        <w:keepNext w:val="0"/>
        <w:keepLines w:val="0"/>
        <w:shd w:val="clear" w:color="auto" w:fill="auto"/>
        <w:bidi w:val="0"/>
        <w:jc w:val="both"/>
        <w:spacing w:before="0" w:after="244" w:line="278" w:lineRule="exact"/>
        <w:ind w:left="20" w:right="0" w:firstLine="700"/>
      </w:pPr>
      <w:r>
        <w:rPr>
          <w:lang w:val="ru-RU" w:eastAsia="ru-RU" w:bidi="ru-RU"/>
          <w:w w:val="100"/>
          <w:spacing w:val="0"/>
          <w:color w:val="000000"/>
          <w:position w:val="0"/>
        </w:rPr>
        <w:t>В данной части жалоба Общества является обоснованной.</w:t>
      </w:r>
    </w:p>
    <w:p>
      <w:pPr>
        <w:pStyle w:val="Style3"/>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Согласно пункту 11 части 1 статьи 64 Закона документация об электронном аукционе наряду с информацией, указанной в извещении о проведении такого аукциона, должна содержать, в том числе, информацию о порядке, дате начала и окончания срока предоставления участникам такого аукциона разъяснений положений документации о таком аукционе.</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Согласно частям 3 и 4 статьи 65 Закона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В течение двух дней с даты поступления от оператора электронной площадки указанного в части 3 статьи 65 Закона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Pr>
          <w:rStyle w:val="CharStyle10"/>
        </w:rPr>
        <w:t>не позднее чем за три дня до даты окончания срока</w:t>
      </w:r>
      <w:r>
        <w:rPr>
          <w:lang w:val="ru-RU" w:eastAsia="ru-RU" w:bidi="ru-RU"/>
          <w:w w:val="100"/>
          <w:spacing w:val="0"/>
          <w:color w:val="000000"/>
          <w:position w:val="0"/>
        </w:rPr>
        <w:t xml:space="preserve"> </w:t>
      </w:r>
      <w:r>
        <w:rPr>
          <w:rStyle w:val="CharStyle10"/>
        </w:rPr>
        <w:t>подачи заявок</w:t>
      </w:r>
      <w:r>
        <w:rPr>
          <w:lang w:val="ru-RU" w:eastAsia="ru-RU" w:bidi="ru-RU"/>
          <w:w w:val="100"/>
          <w:spacing w:val="0"/>
          <w:color w:val="000000"/>
          <w:position w:val="0"/>
        </w:rPr>
        <w:t xml:space="preserve"> на участие в таком аукционе.</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извещению дата и время окончания подачи заявок - 24.10.2017. Пунктом 20 информационной карты документации об аукционе установлен срок «окончания подачи разъяснений» - 19.10.2017, что свидетельствует о том, что, с учетом положений главы 11 Гражданского коднеса Российской Федерации, уполномоченный орган указал неверную дату окончания срока предоставления разъяснений, и о нарушении им требований части 4 статьи 65 Закона.</w:t>
      </w:r>
    </w:p>
    <w:p>
      <w:pPr>
        <w:pStyle w:val="Style3"/>
        <w:widowControl w:val="0"/>
        <w:keepNext w:val="0"/>
        <w:keepLines w:val="0"/>
        <w:shd w:val="clear" w:color="auto" w:fill="auto"/>
        <w:bidi w:val="0"/>
        <w:jc w:val="both"/>
        <w:spacing w:before="0" w:after="240" w:line="274" w:lineRule="exact"/>
        <w:ind w:left="20" w:right="0" w:firstLine="700"/>
      </w:pPr>
      <w:r>
        <w:rPr>
          <w:lang w:val="ru-RU" w:eastAsia="ru-RU" w:bidi="ru-RU"/>
          <w:w w:val="100"/>
          <w:spacing w:val="0"/>
          <w:color w:val="000000"/>
          <w:position w:val="0"/>
        </w:rPr>
        <w:t>Жалоба Общества в данной части является обоснованной.</w:t>
      </w:r>
    </w:p>
    <w:p>
      <w:pPr>
        <w:pStyle w:val="Style3"/>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Согласно части 4 статьи 64 Закона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4 статьи 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частью 5 статьи 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6 статьи 34 Закона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pPr>
        <w:pStyle w:val="Style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Согласно части 7 статьи 34 Закона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Согласно части 8 статьи 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Пункт 8.2.1 проекта контракта содержит следующие условия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1"/>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в соответствии с Постановлением Правительства РФ от 25 ноября 2013 г.</w:t>
      </w:r>
      <w:r>
        <w:rPr>
          <w:rStyle w:val="CharStyle13"/>
          <w:i w:val="0"/>
          <w:iCs w:val="0"/>
        </w:rPr>
        <w:t xml:space="preserve"> № </w:t>
      </w:r>
      <w:r>
        <w:rPr>
          <w:lang w:val="ru-RU" w:eastAsia="ru-RU" w:bidi="ru-RU"/>
          <w:w w:val="100"/>
          <w:spacing w:val="0"/>
          <w:color w:val="000000"/>
          <w:position w:val="0"/>
        </w:rPr>
        <w:t xml:space="preserve">1063 по формуле П = (Ц - В) </w:t>
      </w:r>
      <w:r>
        <w:rPr>
          <w:lang w:val="en-US" w:eastAsia="en-US" w:bidi="en-US"/>
          <w:w w:val="100"/>
          <w:spacing w:val="0"/>
          <w:color w:val="000000"/>
          <w:position w:val="0"/>
        </w:rPr>
        <w:t xml:space="preserve">x </w:t>
      </w:r>
      <w:r>
        <w:rPr>
          <w:lang w:val="ru-RU" w:eastAsia="ru-RU" w:bidi="ru-RU"/>
          <w:w w:val="100"/>
          <w:spacing w:val="0"/>
          <w:color w:val="000000"/>
          <w:position w:val="0"/>
        </w:rPr>
        <w:t>С (где Ц - цена Контракта; В - стоимость фактически исполненного в установленный срок Подрядчиком обязательства по Контракту, определяемая на основании документа о приемке товаров, результатов выполнения работ, оказания услуг, в том числе отдельных этапов исполнения Контрактов; С - размер ставки).</w:t>
      </w:r>
    </w:p>
    <w:p>
      <w:pPr>
        <w:pStyle w:val="Style11"/>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Размер ставки определяется по формуле С = СЦБ х ДП (где СЦБ - размер ставки рефинансирования, установленной Центральным банком Российской Федерации на дату уплаты пени, определяемый с учетом коэффициента </w:t>
      </w:r>
      <w:r>
        <w:rPr>
          <w:lang w:val="en-US" w:eastAsia="en-US" w:bidi="en-US"/>
          <w:w w:val="100"/>
          <w:spacing w:val="0"/>
          <w:color w:val="000000"/>
          <w:position w:val="0"/>
        </w:rPr>
        <w:t xml:space="preserve">K; </w:t>
      </w:r>
      <w:r>
        <w:rPr>
          <w:lang w:val="ru-RU" w:eastAsia="ru-RU" w:bidi="ru-RU"/>
          <w:w w:val="100"/>
          <w:spacing w:val="0"/>
          <w:color w:val="000000"/>
          <w:position w:val="0"/>
        </w:rPr>
        <w:t>ДП - количество дней просрочки).</w:t>
      </w:r>
    </w:p>
    <w:p>
      <w:pPr>
        <w:pStyle w:val="Style11"/>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Коэффициент К определяется по формуле </w:t>
      </w:r>
      <w:r>
        <w:rPr>
          <w:lang w:val="en-US" w:eastAsia="en-US" w:bidi="en-US"/>
          <w:w w:val="100"/>
          <w:spacing w:val="0"/>
          <w:color w:val="000000"/>
          <w:position w:val="0"/>
        </w:rPr>
        <w:t xml:space="preserve">K </w:t>
      </w:r>
      <w:r>
        <w:rPr>
          <w:lang w:val="ru-RU" w:eastAsia="ru-RU" w:bidi="ru-RU"/>
          <w:w w:val="100"/>
          <w:spacing w:val="0"/>
          <w:color w:val="000000"/>
          <w:position w:val="0"/>
        </w:rPr>
        <w:t xml:space="preserve">= ДП / ДК </w:t>
      </w:r>
      <w:r>
        <w:rPr>
          <w:lang w:val="en-US" w:eastAsia="en-US" w:bidi="en-US"/>
          <w:w w:val="100"/>
          <w:spacing w:val="0"/>
          <w:color w:val="000000"/>
          <w:position w:val="0"/>
        </w:rPr>
        <w:t xml:space="preserve">x </w:t>
      </w:r>
      <w:r>
        <w:rPr>
          <w:lang w:val="ru-RU" w:eastAsia="ru-RU" w:bidi="ru-RU"/>
          <w:w w:val="100"/>
          <w:spacing w:val="0"/>
          <w:color w:val="000000"/>
          <w:position w:val="0"/>
        </w:rPr>
        <w:t>100% (где ДП - количество дней просрочки; ДК - срок исполнения обязательства по Контракту (количество дней).</w:t>
      </w:r>
    </w:p>
    <w:p>
      <w:pPr>
        <w:pStyle w:val="Style11"/>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При </w:t>
      </w:r>
      <w:r>
        <w:rPr>
          <w:lang w:val="en-US" w:eastAsia="en-US" w:bidi="en-US"/>
          <w:w w:val="100"/>
          <w:spacing w:val="0"/>
          <w:color w:val="000000"/>
          <w:position w:val="0"/>
        </w:rPr>
        <w:t xml:space="preserve">K, </w:t>
      </w:r>
      <w:r>
        <w:rPr>
          <w:lang w:val="ru-RU" w:eastAsia="ru-RU" w:bidi="ru-RU"/>
          <w:w w:val="100"/>
          <w:spacing w:val="0"/>
          <w:color w:val="000000"/>
          <w:position w:val="0"/>
        </w:rPr>
        <w:t>равном 0-50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pPr>
        <w:pStyle w:val="Style11"/>
        <w:tabs>
          <w:tab w:leader="none" w:pos="1699" w:val="left"/>
          <w:tab w:leader="none" w:pos="3400" w:val="left"/>
        </w:tabs>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 xml:space="preserve">При </w:t>
      </w:r>
      <w:r>
        <w:rPr>
          <w:lang w:val="en-US" w:eastAsia="en-US" w:bidi="en-US"/>
          <w:w w:val="100"/>
          <w:spacing w:val="0"/>
          <w:color w:val="000000"/>
          <w:position w:val="0"/>
        </w:rPr>
        <w:t>K,</w:t>
        <w:tab/>
      </w:r>
      <w:r>
        <w:rPr>
          <w:lang w:val="ru-RU" w:eastAsia="ru-RU" w:bidi="ru-RU"/>
          <w:w w:val="100"/>
          <w:spacing w:val="0"/>
          <w:color w:val="000000"/>
          <w:position w:val="0"/>
        </w:rPr>
        <w:t>равном 50-100</w:t>
        <w:tab/>
        <w:t>процентам, размер ставки определяется за каждый день</w:t>
      </w:r>
    </w:p>
    <w:p>
      <w:pPr>
        <w:pStyle w:val="Style11"/>
        <w:tabs>
          <w:tab w:leader="none" w:pos="1699" w:val="left"/>
          <w:tab w:leader="none" w:pos="3326" w:val="left"/>
          <w:tab w:leader="none" w:pos="8150" w:val="right"/>
          <w:tab w:leader="none" w:pos="9947" w:val="righ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просрочки и</w:t>
        <w:tab/>
        <w:t>принимается</w:t>
        <w:tab/>
        <w:t>равным</w:t>
        <w:tab/>
        <w:t>0,02 ставки рефинансирования,</w:t>
        <w:tab/>
        <w:t>установленной</w:t>
      </w:r>
    </w:p>
    <w:p>
      <w:pPr>
        <w:pStyle w:val="Style11"/>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Центральным банком Российской Федерации на дату уплаты пени.</w:t>
      </w:r>
    </w:p>
    <w:p>
      <w:pPr>
        <w:pStyle w:val="Style11"/>
        <w:tabs>
          <w:tab w:leader="none" w:pos="8150" w:val="right"/>
          <w:tab w:leader="none" w:pos="9947" w:val="right"/>
        </w:tabs>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 xml:space="preserve">При </w:t>
      </w:r>
      <w:r>
        <w:rPr>
          <w:lang w:val="en-US" w:eastAsia="en-US" w:bidi="en-US"/>
          <w:w w:val="100"/>
          <w:spacing w:val="0"/>
          <w:color w:val="000000"/>
          <w:position w:val="0"/>
        </w:rPr>
        <w:t xml:space="preserve">K, </w:t>
      </w:r>
      <w:r>
        <w:rPr>
          <w:lang w:val="ru-RU" w:eastAsia="ru-RU" w:bidi="ru-RU"/>
          <w:w w:val="100"/>
          <w:spacing w:val="0"/>
          <w:color w:val="000000"/>
          <w:position w:val="0"/>
        </w:rPr>
        <w:t>равном 100 процентам и</w:t>
        <w:tab/>
        <w:t>более, размер ставки определяется</w:t>
        <w:tab/>
        <w:t>за каждый день</w:t>
      </w:r>
    </w:p>
    <w:p>
      <w:pPr>
        <w:pStyle w:val="Style11"/>
        <w:tabs>
          <w:tab w:leader="none" w:pos="1699" w:val="left"/>
          <w:tab w:leader="none" w:pos="3326" w:val="left"/>
          <w:tab w:leader="none" w:pos="8150" w:val="right"/>
          <w:tab w:leader="none" w:pos="9947" w:val="righ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просрочки и</w:t>
        <w:tab/>
        <w:t>принимается</w:t>
        <w:tab/>
        <w:t>равным</w:t>
        <w:tab/>
        <w:t>0,03 ставки рефинансирования,</w:t>
        <w:tab/>
        <w:t>установленной</w:t>
      </w:r>
    </w:p>
    <w:p>
      <w:pPr>
        <w:pStyle w:val="Style11"/>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Центральным банком Российской Федерации на дату уплаты пени</w:t>
      </w:r>
      <w:r>
        <w:rPr>
          <w:rStyle w:val="CharStyle13"/>
          <w:i w:val="0"/>
          <w:iCs w:val="0"/>
        </w:rPr>
        <w:t>».</w:t>
      </w:r>
    </w:p>
    <w:p>
      <w:pPr>
        <w:pStyle w:val="Style3"/>
        <w:tabs>
          <w:tab w:leader="none" w:pos="9947" w:val="right"/>
        </w:tabs>
        <w:widowControl w:val="0"/>
        <w:keepNext w:val="0"/>
        <w:keepLines w:val="0"/>
        <w:shd w:val="clear" w:color="auto" w:fill="auto"/>
        <w:bidi w:val="0"/>
        <w:jc w:val="both"/>
        <w:spacing w:before="0" w:after="0" w:line="274" w:lineRule="exact"/>
        <w:ind w:left="40" w:right="0" w:firstLine="700"/>
      </w:pPr>
      <w:r>
        <w:rPr>
          <w:lang w:val="ru-RU" w:eastAsia="ru-RU" w:bidi="ru-RU"/>
          <w:w w:val="100"/>
          <w:spacing w:val="0"/>
          <w:color w:val="000000"/>
          <w:position w:val="0"/>
        </w:rPr>
        <w:t>Постановлением Правительства Российской Федерации от 30.08.2017 №</w:t>
        <w:tab/>
        <w:t>1042</w:t>
      </w:r>
    </w:p>
    <w:p>
      <w:pPr>
        <w:pStyle w:val="Style3"/>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Правила, Постановление № 1042), а также признано утратившим силу постановление Правительства Российской Федерации от 25.11.2013 г.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Постановлением № 1042 установлены новые Правила определения размеров штрафов и пени, начисляемых в случае ненадлежащего исполнения контрактных обязательств, в соответствии со статьей 34 Закона.</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пункту 2 Постановления № 1042 настоящее постановление применяется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Постановление № 1042 вступило в силу 06.09.2017, то есть, до опубликования Уполномоченным органом извещения о проведении электронного аукциона, следовательно, новые Правила применяются к отношениям, возникшим в результате осуществления спорной закупки.</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Вместе с тем, в проекте контракта установлена ответственность заказчика и поставщика (подрядчика, исполнителя) за неисполнение или ненадлежащее исполнение обязательств, предусмотренных контрактом не в соответствии с Правилами, что свидетельствует о нарушении Уполномоченным органом и Заказчиком требований части 4 статьи 34 Закона 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w:t>
      </w:r>
    </w:p>
    <w:p>
      <w:pPr>
        <w:pStyle w:val="Style3"/>
        <w:widowControl w:val="0"/>
        <w:keepNext w:val="0"/>
        <w:keepLines w:val="0"/>
        <w:shd w:val="clear" w:color="auto" w:fill="auto"/>
        <w:bidi w:val="0"/>
        <w:jc w:val="both"/>
        <w:spacing w:before="0" w:after="240" w:line="274" w:lineRule="exact"/>
        <w:ind w:left="20" w:right="0" w:firstLine="700"/>
      </w:pPr>
      <w:r>
        <w:rPr>
          <w:lang w:val="ru-RU" w:eastAsia="ru-RU" w:bidi="ru-RU"/>
          <w:w w:val="100"/>
          <w:spacing w:val="0"/>
          <w:color w:val="000000"/>
          <w:position w:val="0"/>
        </w:rPr>
        <w:t>В данной части жалоба Общества является обоснованной.</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При этом Комиссия не находит оснований для выдачи предписания об устранении нарушений, указанных в пунктах 1 и 2 мотивировочной части настоящего решения, с учетом следующего.</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протоколу от 25.10.2017 для участия в аукционе заявку подал только один участник закупки - «Успех-А», заявка которого признана соответствующей требованиям документации об аукционе, данный участник закупки также признан соответствующим требованиям Закона. Общество - податель жалобы, заявку для участия в аукционе не подавало, выявленные нарушения не влияют на его права и обязанности; при этом отсутствуют объективные основания считать, что данное лицо было намерено реально принимать участие в таком аукционе и претендовать на заключение контракта по его результатам.</w:t>
      </w:r>
    </w:p>
    <w:p>
      <w:pPr>
        <w:pStyle w:val="Style3"/>
        <w:widowControl w:val="0"/>
        <w:keepNext w:val="0"/>
        <w:keepLines w:val="0"/>
        <w:shd w:val="clear" w:color="auto" w:fill="auto"/>
        <w:bidi w:val="0"/>
        <w:jc w:val="both"/>
        <w:spacing w:before="0" w:after="244" w:line="278" w:lineRule="exact"/>
        <w:ind w:left="20" w:right="20" w:firstLine="700"/>
      </w:pPr>
      <w:r>
        <w:rPr>
          <w:lang w:val="ru-RU" w:eastAsia="ru-RU" w:bidi="ru-RU"/>
          <w:w w:val="100"/>
          <w:spacing w:val="0"/>
          <w:color w:val="000000"/>
          <w:position w:val="0"/>
        </w:rPr>
        <w:t>Таким образом, выявленные нарушения не повлияли на результат закупки и выбор победителя при проведении электронного аукциона.</w:t>
      </w:r>
    </w:p>
    <w:p>
      <w:pPr>
        <w:pStyle w:val="Style3"/>
        <w:widowControl w:val="0"/>
        <w:keepNext w:val="0"/>
        <w:keepLines w:val="0"/>
        <w:shd w:val="clear" w:color="auto" w:fill="auto"/>
        <w:bidi w:val="0"/>
        <w:jc w:val="both"/>
        <w:spacing w:before="0" w:after="267" w:line="274" w:lineRule="exact"/>
        <w:ind w:left="20" w:right="20" w:firstLine="700"/>
      </w:pPr>
      <w:r>
        <w:rPr>
          <w:lang w:val="ru-RU" w:eastAsia="ru-RU" w:bidi="ru-RU"/>
          <w:w w:val="100"/>
          <w:spacing w:val="0"/>
          <w:color w:val="000000"/>
          <w:position w:val="0"/>
        </w:rPr>
        <w:t>На основании изложенного и руководствуясь частью 22 статьи 99 и часть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8"/>
        <w:widowControl w:val="0"/>
        <w:keepNext/>
        <w:keepLines/>
        <w:shd w:val="clear" w:color="auto" w:fill="auto"/>
        <w:bidi w:val="0"/>
        <w:jc w:val="left"/>
        <w:spacing w:before="0" w:after="261" w:line="240" w:lineRule="exact"/>
        <w:ind w:left="4680" w:right="0" w:firstLine="0"/>
      </w:pPr>
      <w:bookmarkStart w:id="2" w:name="bookmark2"/>
      <w:r>
        <w:rPr>
          <w:lang w:val="ru-RU" w:eastAsia="ru-RU" w:bidi="ru-RU"/>
          <w:sz w:val="24"/>
          <w:szCs w:val="24"/>
          <w:w w:val="100"/>
          <w:spacing w:val="0"/>
          <w:color w:val="000000"/>
          <w:position w:val="0"/>
        </w:rPr>
        <w:t>РЕШИЛА:</w:t>
      </w:r>
      <w:bookmarkEnd w:id="2"/>
    </w:p>
    <w:p>
      <w:pPr>
        <w:pStyle w:val="Style3"/>
        <w:numPr>
          <w:ilvl w:val="0"/>
          <w:numId w:val="9"/>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Признать жалобу ООО «Перспектива» обоснованной.</w:t>
      </w:r>
    </w:p>
    <w:p>
      <w:pPr>
        <w:pStyle w:val="Style3"/>
        <w:numPr>
          <w:ilvl w:val="0"/>
          <w:numId w:val="9"/>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Признать Администрацию Кимрского района нарушившей требования пункта 6 части 5 статьи 63, части 4 статьи 65, части 4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 требования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w:t>
      </w:r>
    </w:p>
    <w:p>
      <w:pPr>
        <w:pStyle w:val="Style3"/>
        <w:numPr>
          <w:ilvl w:val="0"/>
          <w:numId w:val="9"/>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Признать МОУ Титовская средняя общеобразовательная школа нарушившим требования части 4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 а также требования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w:t>
      </w:r>
    </w:p>
    <w:p>
      <w:pPr>
        <w:pStyle w:val="Style3"/>
        <w:numPr>
          <w:ilvl w:val="0"/>
          <w:numId w:val="9"/>
        </w:numPr>
        <w:tabs>
          <w:tab w:leader="none" w:pos="3130" w:val="center"/>
        </w:tabs>
        <w:widowControl w:val="0"/>
        <w:keepNext w:val="0"/>
        <w:keepLines w:val="0"/>
        <w:shd w:val="clear" w:color="auto" w:fill="auto"/>
        <w:bidi w:val="0"/>
        <w:jc w:val="both"/>
        <w:spacing w:before="0" w:after="463" w:line="274" w:lineRule="exact"/>
        <w:ind w:left="20" w:right="20" w:firstLine="700"/>
      </w:pPr>
      <w:r>
        <w:rPr>
          <w:lang w:val="ru-RU" w:eastAsia="ru-RU" w:bidi="ru-RU"/>
          <w:w w:val="100"/>
          <w:spacing w:val="0"/>
          <w:color w:val="000000"/>
          <w:position w:val="0"/>
        </w:rPr>
        <w:t xml:space="preserve"> Выдать МОУ</w:t>
        <w:tab/>
        <w:t>Титовская средняя общеобразовательная школа предписание об устранении нарушений в сфере закупок товаров, работ, услуг для обеспечения государственных и муниципальных нужд.</w:t>
      </w:r>
    </w:p>
    <w:p>
      <w:pPr>
        <w:pStyle w:val="Style3"/>
        <w:tabs>
          <w:tab w:leader="none" w:pos="7301" w:val="left"/>
        </w:tabs>
        <w:widowControl w:val="0"/>
        <w:keepNext w:val="0"/>
        <w:keepLines w:val="0"/>
        <w:shd w:val="clear" w:color="auto" w:fill="auto"/>
        <w:bidi w:val="0"/>
        <w:jc w:val="both"/>
        <w:spacing w:before="0" w:after="8" w:line="220" w:lineRule="exact"/>
        <w:ind w:left="20" w:right="0" w:firstLine="700"/>
      </w:pPr>
      <w:r>
        <w:rPr>
          <w:lang w:val="ru-RU" w:eastAsia="ru-RU" w:bidi="ru-RU"/>
          <w:w w:val="100"/>
          <w:spacing w:val="0"/>
          <w:color w:val="000000"/>
          <w:position w:val="0"/>
        </w:rPr>
        <w:t>Председатель Комиссии:</w:t>
        <w:tab/>
        <w:t>В.М. Фомин</w:t>
      </w:r>
    </w:p>
    <w:p>
      <w:pPr>
        <w:pStyle w:val="Style3"/>
        <w:tabs>
          <w:tab w:leader="none" w:pos="7301" w:val="left"/>
        </w:tabs>
        <w:widowControl w:val="0"/>
        <w:keepNext w:val="0"/>
        <w:keepLines w:val="0"/>
        <w:shd w:val="clear" w:color="auto" w:fill="auto"/>
        <w:bidi w:val="0"/>
        <w:jc w:val="both"/>
        <w:spacing w:before="0" w:after="8" w:line="220" w:lineRule="exact"/>
        <w:ind w:left="20" w:right="0" w:firstLine="700"/>
      </w:pPr>
      <w:r>
        <w:rPr>
          <w:lang w:val="ru-RU" w:eastAsia="ru-RU" w:bidi="ru-RU"/>
          <w:w w:val="100"/>
          <w:spacing w:val="0"/>
          <w:color w:val="000000"/>
          <w:position w:val="0"/>
        </w:rPr>
        <w:t>Члены Комиссии:</w:t>
        <w:tab/>
        <w:t>Я. А. Шибанов</w:t>
      </w:r>
    </w:p>
    <w:p>
      <w:pPr>
        <w:pStyle w:val="Style3"/>
        <w:tabs>
          <w:tab w:leader="underscore" w:pos="6534" w:val="left"/>
        </w:tabs>
        <w:widowControl w:val="0"/>
        <w:keepNext w:val="0"/>
        <w:keepLines w:val="0"/>
        <w:shd w:val="clear" w:color="auto" w:fill="auto"/>
        <w:bidi w:val="0"/>
        <w:jc w:val="both"/>
        <w:spacing w:before="0" w:after="209" w:line="220" w:lineRule="exact"/>
        <w:ind w:left="4120" w:right="0" w:firstLine="0"/>
      </w:pPr>
      <w:r>
        <w:rPr>
          <w:lang w:val="ru-RU" w:eastAsia="ru-RU" w:bidi="ru-RU"/>
          <w:w w:val="100"/>
          <w:spacing w:val="0"/>
          <w:color w:val="000000"/>
          <w:position w:val="0"/>
        </w:rPr>
        <w:tab/>
        <w:t xml:space="preserve"> Т.С. Кадичева</w:t>
      </w:r>
    </w:p>
    <w:p>
      <w:pPr>
        <w:pStyle w:val="Style3"/>
        <w:widowControl w:val="0"/>
        <w:keepNext w:val="0"/>
        <w:keepLines w:val="0"/>
        <w:shd w:val="clear" w:color="auto" w:fill="auto"/>
        <w:bidi w:val="0"/>
        <w:jc w:val="both"/>
        <w:spacing w:before="0" w:after="6635" w:line="269" w:lineRule="exact"/>
        <w:ind w:left="20" w:right="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4"/>
        <w:widowControl w:val="0"/>
        <w:keepNext w:val="0"/>
        <w:keepLines w:val="0"/>
        <w:shd w:val="clear" w:color="auto" w:fill="auto"/>
        <w:bidi w:val="0"/>
        <w:jc w:val="left"/>
        <w:spacing w:before="0" w:after="0"/>
        <w:ind w:left="20" w:right="8620" w:firstLine="0"/>
      </w:pPr>
      <w:r>
        <w:rPr>
          <w:lang w:val="ru-RU" w:eastAsia="ru-RU" w:bidi="ru-RU"/>
          <w:w w:val="100"/>
          <w:spacing w:val="0"/>
          <w:color w:val="000000"/>
          <w:position w:val="0"/>
        </w:rPr>
        <w:t>Кадичева Т.С. (4822) 34-70-22</w:t>
      </w:r>
    </w:p>
    <w:sectPr>
      <w:footnotePr>
        <w:pos w:val="pageBottom"/>
        <w:numFmt w:val="decimal"/>
        <w:numRestart w:val="continuous"/>
      </w:footnotePr>
      <w:type w:val="continuous"/>
      <w:pgSz w:w="11906" w:h="16838"/>
      <w:pgMar w:top="798" w:left="984" w:right="961" w:bottom="11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2.1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09.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w:basedOn w:val="CharStyle4"/>
    <w:rPr>
      <w:lang w:val="en-US" w:eastAsia="en-US" w:bidi="en-US"/>
      <w:u w:val="single"/>
      <w:w w:val="100"/>
      <w:spacing w:val="0"/>
      <w:color w:val="000000"/>
      <w:position w:val="0"/>
    </w:rPr>
  </w:style>
  <w:style w:type="character" w:customStyle="1" w:styleId="CharStyle7">
    <w:name w:val="Заголовок №1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9">
    <w:name w:val="Заголовок №2_"/>
    <w:basedOn w:val="DefaultParagraphFont"/>
    <w:link w:val="Style8"/>
    <w:rPr>
      <w:b/>
      <w:bCs/>
      <w:i w:val="0"/>
      <w:iCs w:val="0"/>
      <w:u w:val="none"/>
      <w:strike w:val="0"/>
      <w:smallCaps w:val="0"/>
      <w:rFonts w:ascii="Times New Roman" w:eastAsia="Times New Roman" w:hAnsi="Times New Roman" w:cs="Times New Roman"/>
    </w:rPr>
  </w:style>
  <w:style w:type="character" w:customStyle="1" w:styleId="CharStyle10">
    <w:name w:val="Основной текст"/>
    <w:basedOn w:val="CharStyle4"/>
    <w:rPr>
      <w:lang w:val="ru-RU" w:eastAsia="ru-RU" w:bidi="ru-RU"/>
      <w:u w:val="single"/>
      <w:w w:val="100"/>
      <w:spacing w:val="0"/>
      <w:color w:val="000000"/>
      <w:position w:val="0"/>
    </w:rPr>
  </w:style>
  <w:style w:type="character" w:customStyle="1" w:styleId="CharStyle12">
    <w:name w:val="Основной текст (2)_"/>
    <w:basedOn w:val="DefaultParagraphFont"/>
    <w:link w:val="Style11"/>
    <w:rPr>
      <w:b w:val="0"/>
      <w:bCs w:val="0"/>
      <w:i/>
      <w:iCs/>
      <w:u w:val="none"/>
      <w:strike w:val="0"/>
      <w:smallCaps w:val="0"/>
      <w:sz w:val="22"/>
      <w:szCs w:val="22"/>
      <w:rFonts w:ascii="Times New Roman" w:eastAsia="Times New Roman" w:hAnsi="Times New Roman" w:cs="Times New Roman"/>
    </w:rPr>
  </w:style>
  <w:style w:type="character" w:customStyle="1" w:styleId="CharStyle13">
    <w:name w:val="Основной текст (2) + Не курсив"/>
    <w:basedOn w:val="CharStyle12"/>
    <w:rPr>
      <w:lang w:val="ru-RU" w:eastAsia="ru-RU" w:bidi="ru-RU"/>
      <w:i/>
      <w:iC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Заголовок №1"/>
    <w:basedOn w:val="Normal"/>
    <w:link w:val="CharStyle7"/>
    <w:pPr>
      <w:widowControl w:val="0"/>
      <w:shd w:val="clear" w:color="auto" w:fill="FFFFFF"/>
      <w:jc w:val="center"/>
      <w:outlineLvl w:val="0"/>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8">
    <w:name w:val="Заголовок №2"/>
    <w:basedOn w:val="Normal"/>
    <w:link w:val="CharStyle9"/>
    <w:pPr>
      <w:widowControl w:val="0"/>
      <w:shd w:val="clear" w:color="auto" w:fill="FFFFFF"/>
      <w:outlineLvl w:val="1"/>
      <w:spacing w:after="300" w:line="0"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660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petrova</dc:creator>
  <cp:keywords/>
</cp:coreProperties>
</file>