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49" w:left="2766" w:right="8027" w:bottom="868"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33" w:val="left"/>
        </w:tabs>
        <w:widowControl w:val="0"/>
        <w:keepNext w:val="0"/>
        <w:keepLines w:val="0"/>
        <w:shd w:val="clear" w:color="auto" w:fill="auto"/>
        <w:bidi w:val="0"/>
        <w:jc w:val="left"/>
        <w:spacing w:before="0" w:after="0"/>
        <w:ind w:left="40" w:right="980" w:firstLine="0"/>
      </w:pPr>
      <w:r>
        <w:rPr>
          <w:lang w:val="ru-RU" w:eastAsia="ru-RU" w:bidi="ru-RU"/>
          <w:w w:val="100"/>
          <w:spacing w:val="0"/>
          <w:color w:val="000000"/>
          <w:position w:val="0"/>
        </w:rPr>
        <w:t>№06/12797 На №03/11-2017/1 от 03.11.2017</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40" w:firstLine="0"/>
      </w:pPr>
      <w:r>
        <w:rPr>
          <w:lang w:val="ru-RU" w:eastAsia="ru-RU" w:bidi="ru-RU"/>
          <w:w w:val="100"/>
          <w:spacing w:val="0"/>
          <w:color w:val="000000"/>
          <w:position w:val="0"/>
        </w:rPr>
        <w:t>Г осударственное бюджетное учреждение Республики Крым «Специализированная детско-юношеская спортивная школа олимпийского резерва по пулевой стрельбе»</w:t>
      </w:r>
    </w:p>
    <w:p>
      <w:pPr>
        <w:pStyle w:val="Style7"/>
        <w:widowControl w:val="0"/>
        <w:keepNext w:val="0"/>
        <w:keepLines w:val="0"/>
        <w:shd w:val="clear" w:color="auto" w:fill="auto"/>
        <w:bidi w:val="0"/>
        <w:jc w:val="left"/>
        <w:spacing w:before="0" w:after="300" w:line="322" w:lineRule="exact"/>
        <w:ind w:left="20" w:right="40" w:firstLine="0"/>
      </w:pPr>
      <w:r>
        <w:rPr>
          <w:lang w:val="ru-RU" w:eastAsia="ru-RU" w:bidi="ru-RU"/>
          <w:w w:val="100"/>
          <w:spacing w:val="0"/>
          <w:color w:val="000000"/>
          <w:position w:val="0"/>
        </w:rPr>
        <w:t>295048, Республика Крым, г. Симферополь, ул. Трубаченко, 18б</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line="322" w:lineRule="exact"/>
        <w:ind w:left="20" w:right="4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295022, Республика Крым,</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left"/>
        <w:spacing w:before="0" w:after="300" w:line="322" w:lineRule="exact"/>
        <w:ind w:left="20" w:right="0" w:firstLine="0"/>
      </w:pPr>
      <w:r>
        <w:rPr>
          <w:lang w:val="ru-RU" w:eastAsia="ru-RU" w:bidi="ru-RU"/>
          <w:w w:val="100"/>
          <w:spacing w:val="0"/>
          <w:color w:val="000000"/>
          <w:position w:val="0"/>
        </w:rPr>
        <w:t>ул. Кечкеметская, д. 198</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40" w:firstLine="0"/>
      </w:pPr>
      <w:r>
        <w:rPr>
          <w:lang w:val="ru-RU" w:eastAsia="ru-RU" w:bidi="ru-RU"/>
          <w:w w:val="100"/>
          <w:spacing w:val="0"/>
          <w:color w:val="000000"/>
          <w:position w:val="0"/>
        </w:rPr>
        <w:t>Общество с ограниченной ответственностью «Асгард»</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295000, Республика Крым,</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849" w:left="879" w:right="994" w:bottom="868" w:header="0" w:footer="3" w:gutter="0"/>
          <w:rtlGutter w:val="0"/>
          <w:cols w:num="2" w:space="115"/>
          <w:noEndnote/>
          <w:docGrid w:linePitch="360"/>
        </w:sectPr>
      </w:pPr>
      <w:r>
        <w:rPr>
          <w:lang w:val="ru-RU" w:eastAsia="ru-RU" w:bidi="ru-RU"/>
          <w:w w:val="100"/>
          <w:spacing w:val="0"/>
          <w:color w:val="000000"/>
          <w:position w:val="0"/>
        </w:rPr>
        <w:t>ул. Петропаловская, д. 3, оф. 315</w:t>
      </w: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№06/4247-17)</w:t>
      </w:r>
    </w:p>
    <w:p>
      <w:pPr>
        <w:pStyle w:val="Style7"/>
        <w:widowControl w:val="0"/>
        <w:keepNext w:val="0"/>
        <w:keepLines w:val="0"/>
        <w:shd w:val="clear" w:color="auto" w:fill="auto"/>
        <w:bidi w:val="0"/>
        <w:jc w:val="right"/>
        <w:spacing w:before="0" w:after="73" w:line="260" w:lineRule="exact"/>
        <w:ind w:left="0" w:right="2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члена Комиссии - специалиста-эксперта отдела контроля рекламы и органов власти Крымского УФАС России Н. А. Баданина, —</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рассмотрев жалобу Заявителя №03/11-2017/1 от 03.11.2017 (вх. №4814/09 от</w:t>
      </w:r>
    </w:p>
    <w:p>
      <w:pPr>
        <w:pStyle w:val="Style7"/>
        <w:widowControl w:val="0"/>
        <w:keepNext w:val="0"/>
        <w:keepLines w:val="0"/>
        <w:shd w:val="clear" w:color="auto" w:fill="auto"/>
        <w:bidi w:val="0"/>
        <w:jc w:val="left"/>
        <w:spacing w:before="0" w:after="0" w:line="260" w:lineRule="exact"/>
        <w:ind w:left="220" w:right="0" w:firstLine="0"/>
      </w:pPr>
      <w:r>
        <w:rPr>
          <w:lang w:val="ru-RU" w:eastAsia="ru-RU" w:bidi="ru-RU"/>
          <w:w w:val="100"/>
          <w:spacing w:val="0"/>
          <w:color w:val="000000"/>
          <w:position w:val="0"/>
        </w:rPr>
        <w:t>09.11.2017</w:t>
      </w:r>
    </w:p>
    <w:p>
      <w:pPr>
        <w:pStyle w:val="Style7"/>
        <w:tabs>
          <w:tab w:leader="none" w:pos="6735"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07.11.2017) на действия Заказчика при проведении электронного аукциона «Строительно-монтажные работы по объекту:</w:t>
        <w:tab/>
        <w:t>«Реконструкция объектов</w:t>
      </w:r>
    </w:p>
    <w:p>
      <w:pPr>
        <w:pStyle w:val="Style7"/>
        <w:widowControl w:val="0"/>
        <w:keepNext w:val="0"/>
        <w:keepLines w:val="0"/>
        <w:shd w:val="clear" w:color="auto" w:fill="auto"/>
        <w:bidi w:val="0"/>
        <w:jc w:val="both"/>
        <w:spacing w:before="0" w:after="109" w:line="322" w:lineRule="exact"/>
        <w:ind w:left="20" w:right="20" w:firstLine="0"/>
      </w:pPr>
      <w:r>
        <w:rPr>
          <w:lang w:val="ru-RU" w:eastAsia="ru-RU" w:bidi="ru-RU"/>
          <w:w w:val="100"/>
          <w:spacing w:val="0"/>
          <w:color w:val="000000"/>
          <w:position w:val="0"/>
        </w:rPr>
        <w:t>Государственного бюджетного учреждения Республики Крым «Специализированная детско-юношеская спортивная школа олимпийского резерва по пулевой стрельбе» (номер извещения 0175200000417000430) (далее — Аукцион),</w:t>
      </w:r>
    </w:p>
    <w:p>
      <w:pPr>
        <w:pStyle w:val="Style7"/>
        <w:widowControl w:val="0"/>
        <w:keepNext w:val="0"/>
        <w:keepLines w:val="0"/>
        <w:shd w:val="clear" w:color="auto" w:fill="auto"/>
        <w:bidi w:val="0"/>
        <w:jc w:val="center"/>
        <w:spacing w:before="0" w:after="63" w:line="260" w:lineRule="exact"/>
        <w:ind w:left="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силу части 7 статьи 105 Закона о контрактной системе участник закупки, общественное объединение и объединение юридических лиц подают жалобу в письменной форме.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При этом частью 1 статьи 6 Федерального закона от 06.04.2011 №63-ФЗ «Об электронной подписи» (далее — Закон об электронной подписи) определено, что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 подписью.</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Комиссией установлено, что жалоба Заявителя подана на действия Заказчика с использованием электронной почты. При этом жалоба Заявителя не содержит электронную цифровую подпись, что в свою очередь свидетельствует о не соблюдении Заявителем требований части 1 статьи 6 Закона об электронной подписи.</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Таким образом, жалоба подана Заявителем с нарушением требований, предусмотренных частью 7 статьи 105 Закона о контрактной системе, частью 1 статьи 6 Закона об электронной подписи, что в соответствии с пунктом 1 части 11 статьи 105 Закона о контрактной системе является основанием для возврата жалобы Заявителю без рассмотрения.</w:t>
      </w:r>
    </w:p>
    <w:p>
      <w:pPr>
        <w:pStyle w:val="Style7"/>
        <w:widowControl w:val="0"/>
        <w:keepNext w:val="0"/>
        <w:keepLines w:val="0"/>
        <w:shd w:val="clear" w:color="auto" w:fill="auto"/>
        <w:bidi w:val="0"/>
        <w:jc w:val="both"/>
        <w:spacing w:before="0" w:after="0" w:line="322" w:lineRule="exact"/>
        <w:ind w:left="20" w:right="20" w:firstLine="840"/>
        <w:sectPr>
          <w:type w:val="continuous"/>
          <w:pgSz w:w="11906" w:h="16838"/>
          <w:pgMar w:top="1466" w:left="860" w:right="860" w:bottom="972" w:header="0" w:footer="3" w:gutter="77"/>
          <w:rtlGutter w:val="0"/>
          <w:cols w:space="720"/>
          <w:noEndnote/>
          <w:docGrid w:linePitch="360"/>
        </w:sectPr>
      </w:pPr>
      <w:r>
        <w:rPr>
          <w:lang w:val="ru-RU" w:eastAsia="ru-RU" w:bidi="ru-RU"/>
          <w:w w:val="100"/>
          <w:spacing w:val="0"/>
          <w:color w:val="000000"/>
          <w:position w:val="0"/>
        </w:rPr>
        <w:t>На основании изложенного, руководствуясь частями 7, 11 статьи 105 Закона о контрактной системе, частью 1 статьи 6 Закона об электронной подписи, Комиссия</w:t>
      </w:r>
    </w:p>
    <w:p>
      <w:pPr>
        <w:pStyle w:val="Style9"/>
        <w:widowControl w:val="0"/>
        <w:keepNext w:val="0"/>
        <w:keepLines w:val="0"/>
        <w:shd w:val="clear" w:color="auto" w:fill="auto"/>
        <w:bidi w:val="0"/>
        <w:jc w:val="left"/>
        <w:spacing w:before="0" w:after="68" w:line="260" w:lineRule="exact"/>
        <w:ind w:left="4800" w:right="0" w:firstLine="0"/>
      </w:pPr>
      <w:r>
        <w:rPr>
          <w:lang w:val="ru-RU" w:eastAsia="ru-RU" w:bidi="ru-RU"/>
          <w:w w:val="100"/>
          <w:spacing w:val="0"/>
          <w:color w:val="000000"/>
          <w:position w:val="0"/>
        </w:rPr>
        <w:t>РЕШИЛА:</w:t>
      </w:r>
    </w:p>
    <w:p>
      <w:pPr>
        <w:pStyle w:val="Style7"/>
        <w:widowControl w:val="0"/>
        <w:keepNext w:val="0"/>
        <w:keepLines w:val="0"/>
        <w:shd w:val="clear" w:color="auto" w:fill="auto"/>
        <w:bidi w:val="0"/>
        <w:jc w:val="left"/>
        <w:spacing w:before="0" w:after="0" w:line="322" w:lineRule="exact"/>
        <w:ind w:left="0" w:right="0" w:firstLine="860"/>
      </w:pPr>
      <w:r>
        <w:rPr>
          <w:lang w:val="ru-RU" w:eastAsia="ru-RU" w:bidi="ru-RU"/>
          <w:w w:val="100"/>
          <w:spacing w:val="0"/>
          <w:color w:val="000000"/>
          <w:position w:val="0"/>
        </w:rPr>
        <w:t>Возвратить жалобу без рассмотрения.</w:t>
      </w:r>
    </w:p>
    <w:p>
      <w:pPr>
        <w:pStyle w:val="Style7"/>
        <w:widowControl w:val="0"/>
        <w:keepNext w:val="0"/>
        <w:keepLines w:val="0"/>
        <w:shd w:val="clear" w:color="auto" w:fill="auto"/>
        <w:bidi w:val="0"/>
        <w:jc w:val="left"/>
        <w:spacing w:before="0" w:after="343" w:line="322" w:lineRule="exact"/>
        <w:ind w:left="0" w:right="0" w:firstLine="860"/>
      </w:pPr>
      <w:r>
        <w:rPr>
          <w:lang w:val="ru-RU" w:eastAsia="ru-RU" w:bidi="ru-RU"/>
          <w:w w:val="100"/>
          <w:spacing w:val="0"/>
          <w:color w:val="000000"/>
          <w:position w:val="0"/>
        </w:rPr>
        <w:t>Решение о возвращении жалобы может быть порядке.</w:t>
      </w:r>
    </w:p>
    <w:p>
      <w:pPr>
        <w:pStyle w:val="Style7"/>
        <w:widowControl w:val="0"/>
        <w:keepNext w:val="0"/>
        <w:keepLines w:val="0"/>
        <w:shd w:val="clear" w:color="auto" w:fill="auto"/>
        <w:bidi w:val="0"/>
        <w:jc w:val="left"/>
        <w:spacing w:before="0" w:after="0" w:line="643" w:lineRule="exact"/>
        <w:ind w:left="0" w:right="2380" w:firstLine="0"/>
      </w:pPr>
      <w:r>
        <w:rPr>
          <w:lang w:val="ru-RU" w:eastAsia="ru-RU" w:bidi="ru-RU"/>
          <w:w w:val="100"/>
          <w:spacing w:val="0"/>
          <w:color w:val="000000"/>
          <w:position w:val="0"/>
        </w:rPr>
        <w:t>Председатель Комиссии Заместитель председателя Комиссии:</w:t>
      </w:r>
    </w:p>
    <w:p>
      <w:pPr>
        <w:pStyle w:val="Style7"/>
        <w:widowControl w:val="0"/>
        <w:keepNext w:val="0"/>
        <w:keepLines w:val="0"/>
        <w:shd w:val="clear" w:color="auto" w:fill="auto"/>
        <w:bidi w:val="0"/>
        <w:jc w:val="left"/>
        <w:spacing w:before="0" w:after="1020" w:line="643" w:lineRule="exact"/>
        <w:ind w:left="0" w:right="0" w:firstLine="0"/>
      </w:pPr>
      <w:r>
        <w:rPr>
          <w:lang w:val="ru-RU" w:eastAsia="ru-RU" w:bidi="ru-RU"/>
          <w:w w:val="100"/>
          <w:spacing w:val="0"/>
          <w:color w:val="000000"/>
          <w:position w:val="0"/>
        </w:rPr>
        <w:t>Член Комиссии: обжаловано в судебном</w:t>
      </w:r>
    </w:p>
    <w:p>
      <w:pPr>
        <w:pStyle w:val="Style7"/>
        <w:widowControl w:val="0"/>
        <w:keepNext w:val="0"/>
        <w:keepLines w:val="0"/>
        <w:shd w:val="clear" w:color="auto" w:fill="auto"/>
        <w:bidi w:val="0"/>
        <w:jc w:val="left"/>
        <w:spacing w:before="0" w:after="0" w:line="643" w:lineRule="exact"/>
        <w:ind w:left="780" w:right="420" w:firstLine="0"/>
      </w:pPr>
      <w:r>
        <w:rPr>
          <w:lang w:val="ru-RU" w:eastAsia="ru-RU" w:bidi="ru-RU"/>
          <w:w w:val="100"/>
          <w:spacing w:val="0"/>
          <w:color w:val="000000"/>
          <w:position w:val="0"/>
        </w:rPr>
        <w:t>М. С. Муравьёв Н. П. Казакова Н. А. Баданин</w:t>
      </w:r>
    </w:p>
    <w:sectPr>
      <w:pgSz w:w="11906" w:h="16838"/>
      <w:pgMar w:top="1542" w:left="908" w:right="908" w:bottom="11504" w:header="0" w:footer="3" w:gutter="0"/>
      <w:rtlGutter w:val="0"/>
      <w:cols w:num="2" w:space="720" w:equalWidth="0">
        <w:col w:w="6826" w:space="197"/>
        <w:col w:w="3067"/>
      </w:cols>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