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1"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42"/>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spacing w:before="0" w:after="268" w:line="260" w:lineRule="exact"/>
        <w:ind w:left="260" w:right="0" w:firstLine="0"/>
      </w:pPr>
      <w:bookmarkStart w:id="0" w:name="bookmark0"/>
      <w:r>
        <w:rPr>
          <w:rStyle w:val="CharStyle14"/>
          <w:lang w:val="ru-RU" w:eastAsia="ru-RU" w:bidi="ru-RU"/>
        </w:rPr>
        <w:t xml:space="preserve">/5// </w:t>
      </w:r>
      <w:r>
        <w:rPr>
          <w:rStyle w:val="CharStyle15"/>
        </w:rPr>
        <w:t>djOf^h</w:t>
      </w:r>
      <w:r>
        <w:rPr>
          <w:rStyle w:val="CharStyle16"/>
        </w:rPr>
        <w:t xml:space="preserve"> </w:t>
      </w:r>
      <w:r>
        <w:rPr>
          <w:rStyle w:val="CharStyle17"/>
        </w:rPr>
        <w:t xml:space="preserve">№ </w:t>
      </w:r>
      <w:r>
        <w:rPr>
          <w:rStyle w:val="CharStyle14"/>
        </w:rPr>
        <w:t>^/V57/Q3</w:t>
      </w:r>
      <w:bookmarkEnd w:id="0"/>
    </w:p>
    <w:p>
      <w:pPr>
        <w:pStyle w:val="Style18"/>
        <w:tabs>
          <w:tab w:leader="none" w:pos="2605" w:val="right"/>
        </w:tabs>
        <w:widowControl w:val="0"/>
        <w:keepNext w:val="0"/>
        <w:keepLines w:val="0"/>
        <w:shd w:val="clear" w:color="auto" w:fill="auto"/>
        <w:bidi w:val="0"/>
        <w:spacing w:before="0" w:after="0" w:line="230" w:lineRule="exact"/>
        <w:ind w:left="560" w:right="0" w:firstLine="0"/>
      </w:pPr>
      <w:r>
        <w:rPr>
          <w:rStyle w:val="CharStyle20"/>
        </w:rPr>
        <w:t>На №</w:t>
        <w:tab/>
        <w:t>от</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«Центр поставок Профит»</w:t>
      </w:r>
    </w:p>
    <w:p>
      <w:pPr>
        <w:pStyle w:val="Style2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 1)</w:t>
      </w:r>
    </w:p>
    <w:p>
      <w:pPr>
        <w:pStyle w:val="Style23"/>
        <w:widowControl w:val="0"/>
        <w:keepNext w:val="0"/>
        <w:keepLines w:val="0"/>
        <w:shd w:val="clear" w:color="auto" w:fill="auto"/>
        <w:bidi w:val="0"/>
        <w:jc w:val="left"/>
        <w:spacing w:before="0" w:after="243"/>
        <w:ind w:left="20" w:right="20" w:firstLine="0"/>
      </w:pPr>
      <w:r>
        <w:rPr>
          <w:lang w:val="ru-RU" w:eastAsia="ru-RU" w:bidi="ru-RU"/>
          <w:w w:val="100"/>
          <w:spacing w:val="0"/>
          <w:color w:val="000000"/>
          <w:position w:val="0"/>
        </w:rPr>
        <w:t xml:space="preserve">354000, г. Сочи, ул. Навагинская, д. 9Д, оф. 420 эл. почта: </w:t>
      </w:r>
      <w:r>
        <w:fldChar w:fldCharType="begin"/>
      </w:r>
      <w:r>
        <w:rPr>
          <w:rStyle w:val="CharStyle25"/>
        </w:rPr>
        <w:instrText> HYPERLINK "mailto:fas@profitp.su" </w:instrText>
      </w:r>
      <w:r>
        <w:fldChar w:fldCharType="separate"/>
      </w:r>
      <w:r>
        <w:rPr>
          <w:rStyle w:val="Hyperlink"/>
        </w:rPr>
        <w:t>fas@profitp.su</w:t>
      </w:r>
      <w:r>
        <w:fldChar w:fldCharType="end"/>
      </w:r>
    </w:p>
    <w:p>
      <w:pPr>
        <w:pStyle w:val="Style21"/>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ООО «НовоСтрой»</w:t>
      </w:r>
    </w:p>
    <w:p>
      <w:pPr>
        <w:pStyle w:val="Style23"/>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Заявитель 2)</w:t>
      </w:r>
    </w:p>
    <w:p>
      <w:pPr>
        <w:pStyle w:val="Style23"/>
        <w:widowControl w:val="0"/>
        <w:keepNext w:val="0"/>
        <w:keepLines w:val="0"/>
        <w:shd w:val="clear" w:color="auto" w:fill="auto"/>
        <w:bidi w:val="0"/>
        <w:jc w:val="left"/>
        <w:spacing w:before="0" w:after="274" w:line="252" w:lineRule="exact"/>
        <w:ind w:left="20" w:right="20" w:firstLine="0"/>
      </w:pPr>
      <w:r>
        <w:rPr>
          <w:lang w:val="ru-RU" w:eastAsia="ru-RU" w:bidi="ru-RU"/>
          <w:w w:val="100"/>
          <w:spacing w:val="0"/>
          <w:color w:val="000000"/>
          <w:position w:val="0"/>
        </w:rPr>
        <w:t xml:space="preserve">344114, г. Ростов-на-Дону, пр. Королева, д. 29В эл. почта: </w:t>
      </w:r>
      <w:r>
        <w:fldChar w:fldCharType="begin"/>
      </w:r>
      <w:r>
        <w:rPr>
          <w:rStyle w:val="CharStyle25"/>
        </w:rPr>
        <w:instrText> HYPERLINK "mailto:novostroy-rostov2015@yandex.ru" </w:instrText>
      </w:r>
      <w:r>
        <w:fldChar w:fldCharType="separate"/>
      </w:r>
      <w:r>
        <w:rPr>
          <w:rStyle w:val="Hyperlink"/>
        </w:rPr>
        <w:t>novostroy-rostov2015@yandex.ru</w:t>
      </w:r>
      <w:r>
        <w:fldChar w:fldCharType="end"/>
      </w:r>
    </w:p>
    <w:p>
      <w:pPr>
        <w:pStyle w:val="Style21"/>
        <w:widowControl w:val="0"/>
        <w:keepNext w:val="0"/>
        <w:keepLines w:val="0"/>
        <w:shd w:val="clear" w:color="auto" w:fill="auto"/>
        <w:bidi w:val="0"/>
        <w:jc w:val="left"/>
        <w:spacing w:before="0" w:after="13" w:line="210" w:lineRule="exact"/>
        <w:ind w:left="20" w:right="0" w:firstLine="0"/>
      </w:pPr>
      <w:r>
        <w:rPr>
          <w:lang w:val="ru-RU" w:eastAsia="ru-RU" w:bidi="ru-RU"/>
          <w:w w:val="100"/>
          <w:spacing w:val="0"/>
          <w:color w:val="000000"/>
          <w:position w:val="0"/>
        </w:rPr>
        <w:t>ООО «Люксстройремонт»</w:t>
      </w:r>
    </w:p>
    <w:p>
      <w:pPr>
        <w:pStyle w:val="Style23"/>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(далее - Заявитель 3)</w:t>
      </w:r>
    </w:p>
    <w:p>
      <w:pPr>
        <w:pStyle w:val="Style23"/>
        <w:widowControl w:val="0"/>
        <w:keepNext w:val="0"/>
        <w:keepLines w:val="0"/>
        <w:shd w:val="clear" w:color="auto" w:fill="auto"/>
        <w:bidi w:val="0"/>
        <w:jc w:val="left"/>
        <w:spacing w:before="0" w:after="240" w:line="252" w:lineRule="exact"/>
        <w:ind w:left="20" w:right="20" w:firstLine="0"/>
      </w:pPr>
      <w:r>
        <w:rPr>
          <w:lang w:val="ru-RU" w:eastAsia="ru-RU" w:bidi="ru-RU"/>
          <w:w w:val="100"/>
          <w:spacing w:val="0"/>
          <w:color w:val="000000"/>
          <w:position w:val="0"/>
        </w:rPr>
        <w:t xml:space="preserve">344019, г. Ростов-на-Дону, ул. 6-я Линия, д. 63 344091, г. Ростов-на-Дону, пр. Коммунистический, 46/2 эл. почта: </w:t>
      </w:r>
      <w:r>
        <w:fldChar w:fldCharType="begin"/>
      </w:r>
      <w:r>
        <w:rPr>
          <w:rStyle w:val="CharStyle25"/>
        </w:rPr>
        <w:instrText> HYPERLINK "mailto:lux2004@yandex.ru" </w:instrText>
      </w:r>
      <w:r>
        <w:fldChar w:fldCharType="separate"/>
      </w:r>
      <w:r>
        <w:rPr>
          <w:rStyle w:val="Hyperlink"/>
        </w:rPr>
        <w:t>lux2004@yandex.ru</w:t>
      </w:r>
      <w:r>
        <w:fldChar w:fldCharType="end"/>
      </w:r>
    </w:p>
    <w:p>
      <w:pPr>
        <w:pStyle w:val="Style21"/>
        <w:widowControl w:val="0"/>
        <w:keepNext w:val="0"/>
        <w:keepLines w:val="0"/>
        <w:shd w:val="clear" w:color="auto" w:fill="auto"/>
        <w:bidi w:val="0"/>
        <w:jc w:val="left"/>
        <w:spacing w:before="0" w:after="0" w:line="252" w:lineRule="exact"/>
        <w:ind w:left="20" w:right="20" w:firstLine="0"/>
      </w:pPr>
      <w:r>
        <w:rPr>
          <w:lang w:val="ru-RU" w:eastAsia="ru-RU" w:bidi="ru-RU"/>
          <w:w w:val="100"/>
          <w:spacing w:val="0"/>
          <w:color w:val="000000"/>
          <w:position w:val="0"/>
        </w:rPr>
        <w:t>Муниципальное бюджетное учреждение здравоохранения «Центральная районная больница» Милютинского района Ростовской области</w:t>
      </w:r>
    </w:p>
    <w:p>
      <w:pPr>
        <w:pStyle w:val="Style23"/>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(далее - Заказчик)</w:t>
      </w:r>
    </w:p>
    <w:p>
      <w:pPr>
        <w:pStyle w:val="Style23"/>
        <w:widowControl w:val="0"/>
        <w:keepNext w:val="0"/>
        <w:keepLines w:val="0"/>
        <w:shd w:val="clear" w:color="auto" w:fill="auto"/>
        <w:bidi w:val="0"/>
        <w:jc w:val="left"/>
        <w:spacing w:before="0" w:after="243" w:line="248" w:lineRule="exact"/>
        <w:ind w:left="20" w:right="20" w:firstLine="0"/>
      </w:pPr>
      <w:r>
        <w:rPr>
          <w:lang w:val="ru-RU" w:eastAsia="ru-RU" w:bidi="ru-RU"/>
          <w:w w:val="100"/>
          <w:spacing w:val="0"/>
          <w:color w:val="000000"/>
          <w:position w:val="0"/>
        </w:rPr>
        <w:t xml:space="preserve">347120, Ростовская обл., Милютинский р-н, ст-ца Мшпотинская, ул. Гагарина, 24 эл. почта: </w:t>
      </w:r>
      <w:r>
        <w:fldChar w:fldCharType="begin"/>
      </w:r>
      <w:r>
        <w:rPr>
          <w:rStyle w:val="CharStyle25"/>
        </w:rPr>
        <w:instrText> HYPERLINK "mailto:torgi.milcrb@yandex.ru" </w:instrText>
      </w:r>
      <w:r>
        <w:fldChar w:fldCharType="separate"/>
      </w:r>
      <w:r>
        <w:rPr>
          <w:rStyle w:val="Hyperlink"/>
        </w:rPr>
        <w:t>torgi.milcrb@yandex.ru</w:t>
      </w:r>
      <w:r>
        <w:fldChar w:fldCharType="end"/>
      </w:r>
    </w:p>
    <w:p>
      <w:pPr>
        <w:pStyle w:val="Style21"/>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Правительство Ростовской области</w:t>
      </w:r>
    </w:p>
    <w:p>
      <w:pPr>
        <w:pStyle w:val="Style23"/>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(далее - Привлеченное лицо)</w:t>
      </w:r>
    </w:p>
    <w:p>
      <w:pPr>
        <w:pStyle w:val="Style23"/>
        <w:widowControl w:val="0"/>
        <w:keepNext w:val="0"/>
        <w:keepLines w:val="0"/>
        <w:shd w:val="clear" w:color="auto" w:fill="auto"/>
        <w:bidi w:val="0"/>
        <w:jc w:val="left"/>
        <w:spacing w:before="0" w:after="237" w:line="245" w:lineRule="exact"/>
        <w:ind w:left="20" w:right="20" w:firstLine="0"/>
      </w:pPr>
      <w:r>
        <w:rPr>
          <w:lang w:val="ru-RU" w:eastAsia="ru-RU" w:bidi="ru-RU"/>
          <w:w w:val="100"/>
          <w:spacing w:val="0"/>
          <w:color w:val="000000"/>
          <w:position w:val="0"/>
        </w:rPr>
        <w:t>344050, г. Ростов-на-Дону, ул. Социалистическая, д. 112</w:t>
      </w:r>
    </w:p>
    <w:p>
      <w:pPr>
        <w:pStyle w:val="Style21"/>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ЗАО «Сбербанк-АСТ»</w:t>
      </w:r>
    </w:p>
    <w:p>
      <w:pPr>
        <w:pStyle w:val="Style23"/>
        <w:widowControl w:val="0"/>
        <w:keepNext w:val="0"/>
        <w:keepLines w:val="0"/>
        <w:shd w:val="clear" w:color="auto" w:fill="auto"/>
        <w:bidi w:val="0"/>
        <w:jc w:val="left"/>
        <w:spacing w:before="0" w:after="0" w:line="248" w:lineRule="exact"/>
        <w:ind w:left="20" w:right="20" w:firstLine="0"/>
        <w:sectPr>
          <w:footnotePr>
            <w:pos w:val="pageBottom"/>
            <w:numFmt w:val="decimal"/>
            <w:numRestart w:val="continuous"/>
          </w:footnotePr>
          <w:type w:val="continuous"/>
          <w:pgSz w:w="11906" w:h="16838"/>
          <w:pgMar w:top="492" w:left="851" w:right="1395" w:bottom="1324" w:header="0" w:footer="3" w:gutter="0"/>
          <w:rtlGutter w:val="0"/>
          <w:cols w:num="2" w:space="413"/>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5"/>
        </w:rPr>
        <w:instrText> HYPERLINK "http://www.sberbank-ast.ru" </w:instrText>
      </w:r>
      <w:r>
        <w:fldChar w:fldCharType="separate"/>
      </w:r>
      <w:r>
        <w:rPr>
          <w:rStyle w:val="Hyperlink"/>
        </w:rPr>
        <w:t>www.sberbank-ast.ru</w:t>
      </w:r>
      <w:r>
        <w:fldChar w:fldCharType="end"/>
      </w:r>
      <w:r>
        <w:rPr>
          <w:rStyle w:val="CharStyle25"/>
        </w:rPr>
        <w:t xml:space="preserve"> </w:t>
      </w:r>
      <w:r>
        <w:rPr>
          <w:lang w:val="ru-RU" w:eastAsia="ru-RU" w:bidi="ru-RU"/>
          <w:w w:val="100"/>
          <w:spacing w:val="0"/>
          <w:color w:val="000000"/>
          <w:position w:val="0"/>
        </w:rPr>
        <w:t xml:space="preserve">эл. почта: </w:t>
      </w:r>
      <w:r>
        <w:fldChar w:fldCharType="begin"/>
      </w:r>
      <w:r>
        <w:rPr>
          <w:rStyle w:val="CharStyle25"/>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center"/>
        <w:spacing w:before="0" w:after="0" w:line="313" w:lineRule="exact"/>
        <w:ind w:left="0" w:right="0" w:firstLine="0"/>
      </w:pPr>
      <w:r>
        <w:rPr>
          <w:lang w:val="ru-RU" w:eastAsia="ru-RU" w:bidi="ru-RU"/>
          <w:w w:val="100"/>
          <w:spacing w:val="0"/>
          <w:color w:val="000000"/>
          <w:position w:val="0"/>
        </w:rPr>
        <w:t>РЕШЕНИЕ</w:t>
      </w:r>
    </w:p>
    <w:p>
      <w:pPr>
        <w:pStyle w:val="Style6"/>
        <w:widowControl w:val="0"/>
        <w:keepNext w:val="0"/>
        <w:keepLines w:val="0"/>
        <w:shd w:val="clear" w:color="auto" w:fill="auto"/>
        <w:bidi w:val="0"/>
        <w:spacing w:before="0" w:after="367" w:line="313" w:lineRule="exact"/>
        <w:ind w:left="0" w:right="0" w:firstLine="0"/>
      </w:pPr>
      <w:r>
        <w:rPr>
          <w:lang w:val="ru-RU" w:eastAsia="ru-RU" w:bidi="ru-RU"/>
          <w:w w:val="100"/>
          <w:spacing w:val="0"/>
          <w:color w:val="000000"/>
          <w:position w:val="0"/>
        </w:rPr>
        <w:t>по делам №№ 2146/03, 2147/03, 2172/03 о нарушении законодательства о контрактной системе в сфере закупок</w:t>
      </w:r>
    </w:p>
    <w:p>
      <w:pPr>
        <w:pStyle w:val="Style18"/>
        <w:numPr>
          <w:ilvl w:val="0"/>
          <w:numId w:val="1"/>
        </w:numPr>
        <w:tabs>
          <w:tab w:leader="none" w:pos="7814" w:val="left"/>
          <w:tab w:leader="none" w:pos="7848" w:val="left"/>
        </w:tabs>
        <w:widowControl w:val="0"/>
        <w:keepNext w:val="0"/>
        <w:keepLines w:val="0"/>
        <w:shd w:val="clear" w:color="auto" w:fill="auto"/>
        <w:bidi w:val="0"/>
        <w:spacing w:before="0" w:after="214" w:line="230" w:lineRule="exact"/>
        <w:ind w:left="0" w:right="0" w:firstLine="0"/>
      </w:pPr>
      <w:r>
        <w:rPr>
          <w:lang w:val="ru-RU" w:eastAsia="ru-RU" w:bidi="ru-RU"/>
          <w:w w:val="100"/>
          <w:spacing w:val="0"/>
          <w:color w:val="000000"/>
          <w:position w:val="0"/>
        </w:rPr>
        <w:t>гор. Ростов-на-Дону</w:t>
      </w:r>
    </w:p>
    <w:p>
      <w:pPr>
        <w:pStyle w:val="Style18"/>
        <w:widowControl w:val="0"/>
        <w:keepNext w:val="0"/>
        <w:keepLines w:val="0"/>
        <w:shd w:val="clear" w:color="auto" w:fill="auto"/>
        <w:bidi w:val="0"/>
        <w:spacing w:before="0" w:after="292" w:line="302"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8"/>
        <w:tabs>
          <w:tab w:leader="none" w:pos="9850" w:val="right"/>
        </w:tabs>
        <w:widowControl w:val="0"/>
        <w:keepNext w:val="0"/>
        <w:keepLines w:val="0"/>
        <w:shd w:val="clear" w:color="auto" w:fill="auto"/>
        <w:bidi w:val="0"/>
        <w:spacing w:before="0" w:after="0" w:line="313" w:lineRule="exact"/>
        <w:ind w:left="0" w:right="0" w:firstLine="0"/>
      </w:pPr>
      <w:r>
        <w:rPr>
          <w:lang w:val="ru-RU" w:eastAsia="ru-RU" w:bidi="ru-RU"/>
          <w:w w:val="100"/>
          <w:spacing w:val="0"/>
          <w:color w:val="000000"/>
          <w:position w:val="0"/>
        </w:rPr>
        <w:t>Председатель Комиссии:</w:t>
        <w:tab/>
        <w:t>К.А. Коренченко,</w:t>
      </w:r>
    </w:p>
    <w:p>
      <w:pPr>
        <w:pStyle w:val="Style18"/>
        <w:tabs>
          <w:tab w:leader="none" w:pos="8474" w:val="right"/>
          <w:tab w:leader="none" w:pos="9378" w:val="right"/>
        </w:tabs>
        <w:widowControl w:val="0"/>
        <w:keepNext w:val="0"/>
        <w:keepLines w:val="0"/>
        <w:shd w:val="clear" w:color="auto" w:fill="auto"/>
        <w:bidi w:val="0"/>
        <w:spacing w:before="0" w:after="0" w:line="313" w:lineRule="exact"/>
        <w:ind w:left="0" w:right="0" w:firstLine="0"/>
      </w:pPr>
      <w:r>
        <w:rPr>
          <w:lang w:val="ru-RU" w:eastAsia="ru-RU" w:bidi="ru-RU"/>
          <w:w w:val="100"/>
          <w:spacing w:val="0"/>
          <w:color w:val="000000"/>
          <w:position w:val="0"/>
        </w:rPr>
        <w:t>Члены Комиссии:</w:t>
        <w:tab/>
        <w:t>Т.С.</w:t>
        <w:tab/>
        <w:t>Акопян,</w:t>
      </w:r>
    </w:p>
    <w:p>
      <w:pPr>
        <w:pStyle w:val="Style18"/>
        <w:widowControl w:val="0"/>
        <w:keepNext w:val="0"/>
        <w:keepLines w:val="0"/>
        <w:shd w:val="clear" w:color="auto" w:fill="auto"/>
        <w:bidi w:val="0"/>
        <w:jc w:val="left"/>
        <w:spacing w:before="0" w:after="188" w:line="230" w:lineRule="exact"/>
        <w:ind w:left="8060" w:right="0" w:firstLine="0"/>
      </w:pPr>
      <w:r>
        <w:rPr>
          <w:lang w:val="ru-RU" w:eastAsia="ru-RU" w:bidi="ru-RU"/>
          <w:w w:val="100"/>
          <w:spacing w:val="0"/>
          <w:color w:val="000000"/>
          <w:position w:val="0"/>
        </w:rPr>
        <w:t>Е.А. Черняк,</w:t>
      </w:r>
    </w:p>
    <w:p>
      <w:pPr>
        <w:pStyle w:val="Style26"/>
        <w:framePr w:h="340" w:wrap="notBeside" w:vAnchor="text" w:hAnchor="margin" w:x="8978" w:y="1129"/>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009770</w:t>
      </w:r>
    </w:p>
    <w:p>
      <w:pPr>
        <w:pStyle w:val="Style18"/>
        <w:widowControl w:val="0"/>
        <w:keepNext w:val="0"/>
        <w:keepLines w:val="0"/>
        <w:shd w:val="clear" w:color="auto" w:fill="auto"/>
        <w:bidi w:val="0"/>
        <w:spacing w:before="0" w:after="383" w:line="313" w:lineRule="exact"/>
        <w:ind w:left="0" w:right="20" w:firstLine="720"/>
      </w:pPr>
      <w:r>
        <w:rPr>
          <w:lang w:val="ru-RU" w:eastAsia="ru-RU" w:bidi="ru-RU"/>
          <w:w w:val="100"/>
          <w:spacing w:val="0"/>
          <w:color w:val="000000"/>
          <w:position w:val="0"/>
        </w:rPr>
        <w:t>по итогам рассмотрения жалоб Заявителей на действия Заказчика, комиссии Заказчика при проведении электронного аукциона № 0358300102017000039 «Закупка работ по объекту:</w:t>
        <w:br w:type="page"/>
        <w:t xml:space="preserve">«Замена окон и дверей в здании МБУЗ «ЦРБ» Милютинского района, расположенного по адресу: Ростовская область, ст. Милютинская, ул. Гагарина,24» (далее - аукцион), в отсутствие представителей Заявителя 1 (уведомлены надлежащим образом), в присутствии представителя Заявителя 2 - Посашковой Ю.П. (доверенность № 10 от 08.09.2017), </w:t>
      </w:r>
      <w:r>
        <w:rPr>
          <w:rStyle w:val="CharStyle28"/>
        </w:rPr>
        <w:t xml:space="preserve">в присутствии </w:t>
      </w:r>
      <w:r>
        <w:rPr>
          <w:lang w:val="ru-RU" w:eastAsia="ru-RU" w:bidi="ru-RU"/>
          <w:w w:val="100"/>
          <w:spacing w:val="0"/>
          <w:color w:val="000000"/>
          <w:position w:val="0"/>
        </w:rPr>
        <w:t>представителя Заявителя 3 - Гостева О.Ю. (доверенность № 1 от 07.11.2017), в отсутствие представителя Заказчика (уведомлены надлежащим образом), в отсутствие представителей Привлеченного лица (уведомлены надлежащим образом),</w:t>
      </w:r>
    </w:p>
    <w:p>
      <w:pPr>
        <w:pStyle w:val="Style29"/>
        <w:widowControl w:val="0"/>
        <w:keepNext/>
        <w:keepLines/>
        <w:shd w:val="clear" w:color="auto" w:fill="auto"/>
        <w:bidi w:val="0"/>
        <w:spacing w:before="0" w:after="295" w:line="210" w:lineRule="exact"/>
        <w:ind w:left="0" w:right="0" w:firstLine="0"/>
      </w:pPr>
      <w:bookmarkStart w:id="1" w:name="bookmark1"/>
      <w:r>
        <w:rPr>
          <w:lang w:val="ru-RU" w:eastAsia="ru-RU" w:bidi="ru-RU"/>
          <w:w w:val="100"/>
          <w:spacing w:val="0"/>
          <w:color w:val="000000"/>
          <w:position w:val="0"/>
        </w:rPr>
        <w:t>УСТАНОВИЛА:</w:t>
      </w:r>
      <w:bookmarkEnd w:id="1"/>
    </w:p>
    <w:p>
      <w:pPr>
        <w:pStyle w:val="Style18"/>
        <w:widowControl w:val="0"/>
        <w:keepNext w:val="0"/>
        <w:keepLines w:val="0"/>
        <w:shd w:val="clear" w:color="auto" w:fill="auto"/>
        <w:bidi w:val="0"/>
        <w:spacing w:before="0" w:after="0" w:line="320" w:lineRule="exact"/>
        <w:ind w:left="20" w:right="0" w:firstLine="700"/>
      </w:pPr>
      <w:r>
        <w:rPr>
          <w:lang w:val="ru-RU" w:eastAsia="ru-RU" w:bidi="ru-RU"/>
          <w:w w:val="100"/>
          <w:spacing w:val="0"/>
          <w:color w:val="000000"/>
          <w:position w:val="0"/>
        </w:rPr>
        <w:t>В Ростовское У ФАС России:</w:t>
      </w:r>
    </w:p>
    <w:p>
      <w:pPr>
        <w:pStyle w:val="Style18"/>
        <w:numPr>
          <w:ilvl w:val="0"/>
          <w:numId w:val="3"/>
        </w:numPr>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 xml:space="preserve"> 31.10.2017 поступили жалобы ООО «Центр поставок Профит», ООО «НовоСтрой» о признаках нарушения Заказчиком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осуществлении данной закупки;</w:t>
      </w:r>
    </w:p>
    <w:p>
      <w:pPr>
        <w:pStyle w:val="Style18"/>
        <w:numPr>
          <w:ilvl w:val="0"/>
          <w:numId w:val="3"/>
        </w:numPr>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 xml:space="preserve"> 07.11.2017 ООО «Люксстройремонт» о признаках нарушения комиссией Заказчика положений Закона при проведении данного аукциона.</w:t>
      </w:r>
    </w:p>
    <w:p>
      <w:pPr>
        <w:pStyle w:val="Style18"/>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По мнению Заявителей 1 и 2 аукционная документация составлена Заказчиком с нарушениями положений законодательства о контрактной системе в сфере закупок, выразившихся в установлении требований показателям товаров, используемых при выполнении работ, значения которых определяются по результатам испытаний.</w:t>
      </w:r>
    </w:p>
    <w:p>
      <w:pPr>
        <w:pStyle w:val="Style18"/>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Кроме того, ООО «НовоСтрой» указывает, что Заказчиком неправомерно установлено требование о предоставлении в составе заявки выписки (копии выписки) из реестра членов саморегулируемой организации, виду того, что работы, выступающие в качестве предмета закупки, не являются работами по строительству, реконструкции, капитальному ремонту.</w:t>
      </w:r>
    </w:p>
    <w:p>
      <w:pPr>
        <w:pStyle w:val="Style18"/>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По мнению Заявителя 3, заявка, поданная им на участие в электронном аукционе, отклонена комиссией Заказчика неправомерно, с нарушением норм законодательства о контрактной системе в сфере закупок.</w:t>
      </w:r>
    </w:p>
    <w:p>
      <w:pPr>
        <w:pStyle w:val="Style18"/>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В материалы дела Заказчиком представлено возражение на жалобу, в котором указано, что все характеристики товаров, предусмотренные аукционной документацией, установлены в соответствии с требованиями ГОСТ, все испытания производит изготовитель товара и указывает их в паспорте продукции, ввиду чего участнику закупки производить самостоятельно указанные испытания не требуется.</w:t>
      </w:r>
    </w:p>
    <w:p>
      <w:pPr>
        <w:pStyle w:val="Style18"/>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Согласно поданной жалобе Ростовским У ФАС России возбуждены дела №№ 2146/03, 2147/03, 2172/03, что подтверждено уведомлениями о содержании жалоб и назначении времени и места их рассмотрения (исх. № 20537/03 от 01.11.2017, исх. № 20700/03 от 07.11.2017).</w:t>
      </w:r>
    </w:p>
    <w:p>
      <w:pPr>
        <w:pStyle w:val="Style18"/>
        <w:widowControl w:val="0"/>
        <w:keepNext w:val="0"/>
        <w:keepLines w:val="0"/>
        <w:shd w:val="clear" w:color="auto" w:fill="auto"/>
        <w:bidi w:val="0"/>
        <w:spacing w:before="0" w:after="0" w:line="320" w:lineRule="exact"/>
        <w:ind w:left="20" w:right="2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18"/>
        <w:numPr>
          <w:ilvl w:val="0"/>
          <w:numId w:val="5"/>
        </w:numPr>
        <w:tabs>
          <w:tab w:leader="none" w:pos="1986" w:val="left"/>
        </w:tabs>
        <w:widowControl w:val="0"/>
        <w:keepNext w:val="0"/>
        <w:keepLines w:val="0"/>
        <w:shd w:val="clear" w:color="auto" w:fill="auto"/>
        <w:bidi w:val="0"/>
        <w:spacing w:before="0" w:after="0" w:line="324" w:lineRule="exact"/>
        <w:ind w:left="20" w:right="20" w:firstLine="720"/>
      </w:pPr>
      <w:r>
        <w:rPr>
          <w:lang w:val="ru-RU" w:eastAsia="ru-RU" w:bidi="ru-RU"/>
          <w:w w:val="100"/>
          <w:spacing w:val="0"/>
          <w:color w:val="000000"/>
          <w:position w:val="0"/>
        </w:rPr>
        <w:t>в 15 часов 21 минуту на официальном сайте единой информационной системы в сфере закупок (далее - ЕИС) Заказчиком размещено извещение о проведении электронного аукциона № 0358300102017000039 «Закупка работ по объекту: «Замена окон и дверей в здании МБУЗ «ЦРБ» Милютинского района, расположенного по адресу: Ростовская область, ст. Милютинская, ул. Гагарина,24» (далее - Извещение).</w:t>
      </w:r>
    </w:p>
    <w:p>
      <w:pPr>
        <w:pStyle w:val="Style18"/>
        <w:widowControl w:val="0"/>
        <w:keepNext w:val="0"/>
        <w:keepLines w:val="0"/>
        <w:shd w:val="clear" w:color="auto" w:fill="auto"/>
        <w:bidi w:val="0"/>
        <w:spacing w:before="0" w:after="237" w:line="317" w:lineRule="exact"/>
        <w:ind w:left="20" w:right="20" w:firstLine="720"/>
      </w:pPr>
      <w:r>
        <w:rPr>
          <w:lang w:val="ru-RU" w:eastAsia="ru-RU" w:bidi="ru-RU"/>
          <w:w w:val="100"/>
          <w:spacing w:val="0"/>
          <w:color w:val="000000"/>
          <w:position w:val="0"/>
        </w:rPr>
        <w:t>Согласно данному Извещению начальная (максимальная) цена контракта составила 3 036 472,00 руб.; дата и время окончания подачи заявок на участие в аукционе - 01.11.2017 в 09 часов 00 минут. На момент рассмотрения жалобы контракт не заключен.</w:t>
      </w:r>
    </w:p>
    <w:p>
      <w:pPr>
        <w:pStyle w:val="Style18"/>
        <w:numPr>
          <w:ilvl w:val="0"/>
          <w:numId w:val="7"/>
        </w:numPr>
        <w:tabs>
          <w:tab w:leader="none" w:pos="1060" w:val="left"/>
        </w:tabs>
        <w:widowControl w:val="0"/>
        <w:keepNext w:val="0"/>
        <w:keepLines w:val="0"/>
        <w:shd w:val="clear" w:color="auto" w:fill="auto"/>
        <w:bidi w:val="0"/>
        <w:spacing w:before="0" w:after="246" w:line="320" w:lineRule="exact"/>
        <w:ind w:left="20" w:right="20" w:firstLine="720"/>
      </w:pPr>
      <w:r>
        <w:rPr>
          <w:lang w:val="ru-RU" w:eastAsia="ru-RU" w:bidi="ru-RU"/>
          <w:w w:val="100"/>
          <w:spacing w:val="0"/>
          <w:color w:val="000000"/>
          <w:position w:val="0"/>
        </w:rPr>
        <w:t>Комиссией Ростовского У ФАС России в ходе рассмотрения доводов жалобы установлено следующее:</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1.1., 2.1 ООО «Центр поставок Профит» и ООО «НовоСтрой» указывают, что ряд требований к показателям товаров, использующихся при выполнении работ, выступающих в качестве предмета закупки, определяются по результатам проведения испытаний, что противоречит положениям Закона.</w:t>
      </w:r>
    </w:p>
    <w:p>
      <w:pPr>
        <w:pStyle w:val="Style18"/>
        <w:widowControl w:val="0"/>
        <w:keepNext w:val="0"/>
        <w:keepLines w:val="0"/>
        <w:shd w:val="clear" w:color="auto" w:fill="auto"/>
        <w:bidi w:val="0"/>
        <w:spacing w:before="0" w:after="0" w:line="313" w:lineRule="exact"/>
        <w:ind w:left="20" w:right="0" w:firstLine="720"/>
      </w:pPr>
      <w:r>
        <w:rPr>
          <w:lang w:val="ru-RU" w:eastAsia="ru-RU" w:bidi="ru-RU"/>
          <w:w w:val="100"/>
          <w:spacing w:val="0"/>
          <w:color w:val="000000"/>
          <w:position w:val="0"/>
        </w:rPr>
        <w:t>При рассмотрении дела Комиссией Ростовского У ФАС России установлено следующее:</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Законом урегулированы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 1 ст. 1 Закона).</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В соответствии с п. 1 ч. 1 ст. 64 Закона документация об электронном аукционе должна содержать наименование и описание объекта закупки и условия контракта в соответствии со ст. 33 Закона.</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На основании п. 1 ч. 1 ст. 33 Закона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В соответствии с ч. 3 ст. 33 Закона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pPr>
        <w:pStyle w:val="Style18"/>
        <w:widowControl w:val="0"/>
        <w:keepNext w:val="0"/>
        <w:keepLines w:val="0"/>
        <w:shd w:val="clear" w:color="auto" w:fill="auto"/>
        <w:bidi w:val="0"/>
        <w:spacing w:before="0" w:after="0" w:line="317" w:lineRule="exact"/>
        <w:ind w:left="20" w:right="60" w:firstLine="700"/>
      </w:pPr>
      <w:r>
        <w:rPr>
          <w:lang w:val="ru-RU" w:eastAsia="ru-RU" w:bidi="ru-RU"/>
          <w:w w:val="100"/>
          <w:spacing w:val="0"/>
          <w:color w:val="000000"/>
          <w:position w:val="0"/>
        </w:rPr>
        <w:t>Из буквального толкования вышеприведенных положений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заказчики, осуществляющие закупку в соответствии с положениями Закона, при описании объекта закупки должны таким образом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им необходимы, а с другой стороны, не ограничить количество участников закупки.</w:t>
      </w:r>
    </w:p>
    <w:p>
      <w:pPr>
        <w:pStyle w:val="Style18"/>
        <w:widowControl w:val="0"/>
        <w:keepNext w:val="0"/>
        <w:keepLines w:val="0"/>
        <w:shd w:val="clear" w:color="auto" w:fill="auto"/>
        <w:bidi w:val="0"/>
        <w:spacing w:before="0" w:after="0" w:line="317" w:lineRule="exact"/>
        <w:ind w:left="20" w:right="60" w:firstLine="700"/>
      </w:pPr>
      <w:r>
        <w:rPr>
          <w:lang w:val="ru-RU" w:eastAsia="ru-RU" w:bidi="ru-RU"/>
          <w:w w:val="100"/>
          <w:spacing w:val="0"/>
          <w:color w:val="000000"/>
          <w:position w:val="0"/>
        </w:rPr>
        <w:t>Согласно п. 3 Письма ФАС России от 01.07.2016 № ИА/44536/16 «Об установлении заказчиком требований к составу, инструкции по заполнению заявки на участие в закупке» (далее - Письмо) при установлении заказчиком в документации, извещении о закупке требований к описанию участниками закупки товаров следует учесть, что Закон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18"/>
        <w:widowControl w:val="0"/>
        <w:keepNext w:val="0"/>
        <w:keepLines w:val="0"/>
        <w:shd w:val="clear" w:color="auto" w:fill="auto"/>
        <w:bidi w:val="0"/>
        <w:spacing w:before="0" w:after="0" w:line="317" w:lineRule="exact"/>
        <w:ind w:left="20" w:right="60" w:firstLine="700"/>
      </w:pPr>
      <w:r>
        <w:rPr>
          <w:lang w:val="ru-RU" w:eastAsia="ru-RU" w:bidi="ru-RU"/>
          <w:w w:val="100"/>
          <w:spacing w:val="0"/>
          <w:color w:val="000000"/>
          <w:position w:val="0"/>
        </w:rPr>
        <w:t>Позиция, изложенная в п. 3 Письма, подтверждается Решением Верховного Суда Российской Федерации от 09.02.2017 по делу № АКПИ16-1287.</w:t>
      </w:r>
    </w:p>
    <w:p>
      <w:pPr>
        <w:pStyle w:val="Style18"/>
        <w:widowControl w:val="0"/>
        <w:keepNext w:val="0"/>
        <w:keepLines w:val="0"/>
        <w:shd w:val="clear" w:color="auto" w:fill="auto"/>
        <w:bidi w:val="0"/>
        <w:spacing w:before="0" w:after="297" w:line="317" w:lineRule="exact"/>
        <w:ind w:left="20" w:right="60" w:firstLine="700"/>
      </w:pPr>
      <w:r>
        <w:rPr>
          <w:lang w:val="ru-RU" w:eastAsia="ru-RU" w:bidi="ru-RU"/>
          <w:w w:val="100"/>
          <w:spacing w:val="0"/>
          <w:color w:val="000000"/>
          <w:position w:val="0"/>
        </w:rPr>
        <w:t>В соответствии с разделом II «Наименование и описание объекта закупки» аукционной документации (далее - Описание объекта закупки) Заказчику, кроме прочего, для выполнения работ требуются товары со следующими характеристиками, обжалуемыми Заявителем 1:</w:t>
      </w:r>
    </w:p>
    <w:tbl>
      <w:tblPr>
        <w:tblOverlap w:val="never"/>
        <w:tblLayout w:type="fixed"/>
        <w:jc w:val="center"/>
      </w:tblPr>
      <w:tblGrid>
        <w:gridCol w:w="1400"/>
        <w:gridCol w:w="5868"/>
        <w:gridCol w:w="1364"/>
        <w:gridCol w:w="1321"/>
      </w:tblGrid>
      <w:tr>
        <w:trPr>
          <w:trHeight w:val="482" w:hRule="exact"/>
        </w:trPr>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Наименование</w:t>
            </w:r>
          </w:p>
          <w:p>
            <w:pPr>
              <w:pStyle w:val="Style18"/>
              <w:framePr w:w="9954"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товара</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Требуемый параметр</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Требуемое</w:t>
            </w:r>
          </w:p>
          <w:p>
            <w:pPr>
              <w:pStyle w:val="Style18"/>
              <w:framePr w:w="9954"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значение</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Ед. изм.</w:t>
            </w:r>
          </w:p>
        </w:tc>
      </w:tr>
      <w:tr>
        <w:trPr>
          <w:trHeight w:val="223" w:hRule="exact"/>
        </w:trPr>
        <w:tc>
          <w:tcPr>
            <w:shd w:val="clear" w:color="auto" w:fill="FFFFFF"/>
            <w:vMerge w:val="restart"/>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Доска</w:t>
            </w:r>
          </w:p>
          <w:p>
            <w:pPr>
              <w:pStyle w:val="Style18"/>
              <w:framePr w:w="9954"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подоконная</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Минимальный модуль упругости при растяжении:</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&lt;2200</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216"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Минимальное приведенное сопротивление теплопередаче</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&gt;1,1</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(м2*°С)/Вт</w:t>
            </w:r>
          </w:p>
        </w:tc>
      </w:tr>
      <w:tr>
        <w:trPr>
          <w:trHeight w:val="220"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температура размягчения по Вика</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&lt;78</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w:t>
            </w:r>
          </w:p>
        </w:tc>
      </w:tr>
      <w:tr>
        <w:trPr>
          <w:trHeight w:val="220" w:hRule="exact"/>
        </w:trPr>
        <w:tc>
          <w:tcPr>
            <w:shd w:val="clear" w:color="auto" w:fill="FFFFFF"/>
            <w:vMerge w:val="restart"/>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Водоотлив</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Относительное удлинение</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&gt;22</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2"/>
              </w:rPr>
              <w:t>%</w:t>
            </w:r>
          </w:p>
        </w:tc>
      </w:tr>
      <w:tr>
        <w:trPr>
          <w:trHeight w:val="216"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Временное сопротивление разрыву</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&gt;280</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428" w:hRule="exact"/>
        </w:trPr>
        <w:tc>
          <w:tcPr>
            <w:shd w:val="clear" w:color="auto" w:fill="FFFFFF"/>
            <w:vMerge w:val="restart"/>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ЭМАЛЬ</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31"/>
              </w:rPr>
              <w:t>Условная вязкость при температуре 20°С по вискозиметру ВЗ-246 с диаметром сопла 4 мм:</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менее 20</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w:t>
            </w:r>
          </w:p>
        </w:tc>
      </w:tr>
      <w:tr>
        <w:trPr>
          <w:trHeight w:val="212"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Время высыхания до степени 3 при температуре 20°С:</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более 4</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ч</w:t>
            </w:r>
          </w:p>
        </w:tc>
      </w:tr>
      <w:tr>
        <w:trPr>
          <w:trHeight w:val="223"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Степень перегара</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более 50</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мкм</w:t>
            </w:r>
          </w:p>
        </w:tc>
      </w:tr>
      <w:tr>
        <w:trPr>
          <w:trHeight w:val="425" w:hRule="exact"/>
        </w:trPr>
        <w:tc>
          <w:tcPr>
            <w:shd w:val="clear" w:color="auto" w:fill="FFFFFF"/>
            <w:vMerge w:val="restart"/>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spacing w:before="0" w:after="0" w:line="205" w:lineRule="exact"/>
              <w:ind w:left="0" w:right="0" w:firstLine="0"/>
            </w:pPr>
            <w:r>
              <w:rPr>
                <w:rStyle w:val="CharStyle31"/>
              </w:rPr>
              <w:t>Блок оконный тип 1 до 3 м2</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31"/>
              </w:rPr>
              <w:t>Минимальное сопротивление статическим нагрузкам в плоскости полотна</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&gt;1200</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w:t>
            </w:r>
          </w:p>
        </w:tc>
      </w:tr>
      <w:tr>
        <w:trPr>
          <w:trHeight w:val="216"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Минимальный модуль упругости при растяжении профиля</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&lt;2300</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220"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Минимальное сопротивление ветровой нагрузке</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 749,5</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Па</w:t>
            </w:r>
          </w:p>
        </w:tc>
      </w:tr>
      <w:tr>
        <w:trPr>
          <w:trHeight w:val="223"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Максимальное усилие, прикладываемое к створке для ее открывания</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&gt;36</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w:t>
            </w:r>
          </w:p>
        </w:tc>
      </w:tr>
      <w:tr>
        <w:trPr>
          <w:trHeight w:val="428"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31"/>
              </w:rPr>
              <w:t>Минимальное приведенное сопротивление теплопередаче главного профиля</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&lt;1</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м2»°С/Вт</w:t>
            </w:r>
          </w:p>
        </w:tc>
      </w:tr>
      <w:tr>
        <w:trPr>
          <w:trHeight w:val="425"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31"/>
              </w:rPr>
              <w:t>Максимальное усилие, прикладываемое к створкам при их закрывании до требуемого сжатия уплотняющих прокладок</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&gt;72</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w:t>
            </w:r>
          </w:p>
        </w:tc>
      </w:tr>
      <w:tr>
        <w:trPr>
          <w:trHeight w:val="425"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31"/>
              </w:rPr>
              <w:t>Минимальное сопротивление нагрузке, приложенной к ограничителю угла открывания в режиме проветривания</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&lt;550</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w:t>
            </w:r>
          </w:p>
        </w:tc>
      </w:tr>
      <w:tr>
        <w:trPr>
          <w:trHeight w:val="425"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31"/>
              </w:rPr>
              <w:t>Минимальное сопротивление статической нагрузке, действующей на запорные приборы и ручки</w:t>
            </w:r>
          </w:p>
        </w:tc>
        <w:tc>
          <w:tcPr>
            <w:shd w:val="clear" w:color="auto" w:fill="FFFFFF"/>
            <w:tcBorders>
              <w:lef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&lt;715</w:t>
            </w:r>
          </w:p>
        </w:tc>
        <w:tc>
          <w:tcPr>
            <w:shd w:val="clear" w:color="auto" w:fill="FFFFFF"/>
            <w:tcBorders>
              <w:left w:val="single" w:sz="4"/>
              <w:right w:val="single" w:sz="4"/>
              <w:top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2"/>
              </w:rPr>
              <w:t>н</w:t>
            </w:r>
          </w:p>
        </w:tc>
      </w:tr>
      <w:tr>
        <w:trPr>
          <w:trHeight w:val="220"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ударная вязкость по Шарли</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&gt;25</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кДж/м2</w:t>
            </w:r>
          </w:p>
        </w:tc>
      </w:tr>
      <w:tr>
        <w:trPr>
          <w:trHeight w:val="220"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прочность при растяжении профиля</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&lt;44,4</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223" w:hRule="exact"/>
        </w:trPr>
        <w:tc>
          <w:tcPr>
            <w:shd w:val="clear" w:color="auto" w:fill="FFFFFF"/>
            <w:vMerge/>
            <w:tcBorders>
              <w:left w:val="single" w:sz="4"/>
            </w:tcBorders>
            <w:vAlign w:val="center"/>
          </w:tcPr>
          <w:p>
            <w:pPr>
              <w:framePr w:w="9954" w:wrap="notBeside" w:vAnchor="text" w:hAnchor="text" w:xAlign="center" w:y="1"/>
            </w:pP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температура размягчения по Вика</w:t>
            </w:r>
          </w:p>
        </w:tc>
        <w:tc>
          <w:tcPr>
            <w:shd w:val="clear" w:color="auto" w:fill="FFFFFF"/>
            <w:tcBorders>
              <w:lef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&lt;190</w:t>
            </w:r>
          </w:p>
        </w:tc>
        <w:tc>
          <w:tcPr>
            <w:shd w:val="clear" w:color="auto" w:fill="FFFFFF"/>
            <w:tcBorders>
              <w:left w:val="single" w:sz="4"/>
              <w:right w:val="single" w:sz="4"/>
              <w:top w:val="single" w:sz="4"/>
            </w:tcBorders>
            <w:vAlign w:val="bottom"/>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w:t>
            </w:r>
          </w:p>
        </w:tc>
      </w:tr>
      <w:tr>
        <w:trPr>
          <w:trHeight w:val="436" w:hRule="exact"/>
        </w:trPr>
        <w:tc>
          <w:tcPr>
            <w:shd w:val="clear" w:color="auto" w:fill="FFFFFF"/>
            <w:vMerge/>
            <w:tcBorders>
              <w:left w:val="single" w:sz="4"/>
              <w:bottom w:val="single" w:sz="4"/>
            </w:tcBorders>
            <w:vAlign w:val="center"/>
          </w:tcPr>
          <w:p>
            <w:pPr>
              <w:framePr w:w="9954" w:wrap="notBeside" w:vAnchor="text" w:hAnchor="text" w:xAlign="center" w:y="1"/>
            </w:pPr>
          </w:p>
        </w:tc>
        <w:tc>
          <w:tcPr>
            <w:shd w:val="clear" w:color="auto" w:fill="FFFFFF"/>
            <w:tcBorders>
              <w:left w:val="single" w:sz="4"/>
              <w:top w:val="single" w:sz="4"/>
              <w:bottom w:val="single" w:sz="4"/>
            </w:tcBorders>
            <w:vAlign w:val="bottom"/>
          </w:tcPr>
          <w:p>
            <w:pPr>
              <w:pStyle w:val="Style18"/>
              <w:framePr w:w="9954" w:wrap="notBeside" w:vAnchor="text" w:hAnchor="text" w:xAlign="center" w:y="1"/>
              <w:widowControl w:val="0"/>
              <w:keepNext w:val="0"/>
              <w:keepLines w:val="0"/>
              <w:shd w:val="clear" w:color="auto" w:fill="auto"/>
              <w:bidi w:val="0"/>
              <w:jc w:val="left"/>
              <w:spacing w:before="0" w:after="0" w:line="212" w:lineRule="exact"/>
              <w:ind w:left="120" w:right="0" w:firstLine="0"/>
            </w:pPr>
            <w:r>
              <w:rPr>
                <w:rStyle w:val="CharStyle31"/>
              </w:rPr>
              <w:t>Минимальное сопротивление крутящему моменту сил, приложенных к ручке</w:t>
            </w:r>
          </w:p>
        </w:tc>
        <w:tc>
          <w:tcPr>
            <w:shd w:val="clear" w:color="auto" w:fill="FFFFFF"/>
            <w:tcBorders>
              <w:left w:val="single" w:sz="4"/>
              <w:top w:val="single" w:sz="4"/>
              <w:bottom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&lt;32,4</w:t>
            </w:r>
          </w:p>
        </w:tc>
        <w:tc>
          <w:tcPr>
            <w:shd w:val="clear" w:color="auto" w:fill="FFFFFF"/>
            <w:tcBorders>
              <w:left w:val="single" w:sz="4"/>
              <w:right w:val="single" w:sz="4"/>
              <w:top w:val="single" w:sz="4"/>
              <w:bottom w:val="single" w:sz="4"/>
            </w:tcBorders>
            <w:vAlign w:val="center"/>
          </w:tcPr>
          <w:p>
            <w:pPr>
              <w:pStyle w:val="Style18"/>
              <w:framePr w:w="995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Н*м</w:t>
            </w:r>
          </w:p>
        </w:tc>
      </w:tr>
    </w:tbl>
    <w:p>
      <w:pPr>
        <w:widowControl w:val="0"/>
        <w:rPr>
          <w:sz w:val="2"/>
          <w:szCs w:val="2"/>
        </w:rPr>
      </w:pPr>
    </w:p>
    <w:tbl>
      <w:tblPr>
        <w:tblOverlap w:val="never"/>
        <w:tblLayout w:type="fixed"/>
        <w:jc w:val="center"/>
      </w:tblPr>
      <w:tblGrid>
        <w:gridCol w:w="1418"/>
        <w:gridCol w:w="5890"/>
        <w:gridCol w:w="1364"/>
        <w:gridCol w:w="1300"/>
      </w:tblGrid>
      <w:tr>
        <w:trPr>
          <w:trHeight w:val="443" w:hRule="exact"/>
        </w:trPr>
        <w:tc>
          <w:tcPr>
            <w:shd w:val="clear" w:color="auto" w:fill="FFFFFF"/>
            <w:vMerge w:val="restart"/>
            <w:tcBorders>
              <w:left w:val="single" w:sz="4"/>
              <w:top w:val="single" w:sz="4"/>
            </w:tcBorders>
            <w:vAlign w:val="center"/>
          </w:tcPr>
          <w:p>
            <w:pPr>
              <w:pStyle w:val="Style18"/>
              <w:framePr w:w="9972" w:wrap="notBeside" w:vAnchor="text" w:hAnchor="text" w:xAlign="center" w:y="1"/>
              <w:widowControl w:val="0"/>
              <w:keepNext w:val="0"/>
              <w:keepLines w:val="0"/>
              <w:shd w:val="clear" w:color="auto" w:fill="auto"/>
              <w:bidi w:val="0"/>
              <w:spacing w:before="0" w:after="0" w:line="209" w:lineRule="exact"/>
              <w:ind w:left="0" w:right="0" w:firstLine="0"/>
            </w:pPr>
            <w:r>
              <w:rPr>
                <w:rStyle w:val="CharStyle31"/>
              </w:rPr>
              <w:t>Блок оконный тип 1 до 3 м2</w:t>
            </w:r>
          </w:p>
        </w:tc>
        <w:tc>
          <w:tcPr>
            <w:shd w:val="clear" w:color="auto" w:fill="FFFFFF"/>
            <w:tcBorders>
              <w:left w:val="single" w:sz="4"/>
              <w:top w:val="single" w:sz="4"/>
            </w:tcBorders>
            <w:vAlign w:val="bottom"/>
          </w:tcPr>
          <w:p>
            <w:pPr>
              <w:pStyle w:val="Style18"/>
              <w:framePr w:w="9972"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31"/>
              </w:rPr>
              <w:t>Максимально допустимое изменение линейных размеров доборного профиля после теплового воздействия</w:t>
            </w:r>
          </w:p>
        </w:tc>
        <w:tc>
          <w:tcPr>
            <w:shd w:val="clear" w:color="auto" w:fill="FFFFFF"/>
            <w:tcBorders>
              <w:left w:val="single" w:sz="4"/>
              <w:top w:val="single" w:sz="4"/>
            </w:tcBorders>
            <w:vAlign w:val="center"/>
          </w:tcPr>
          <w:p>
            <w:pPr>
              <w:pStyle w:val="Style18"/>
              <w:framePr w:w="997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&lt;3</w:t>
            </w:r>
          </w:p>
        </w:tc>
        <w:tc>
          <w:tcPr>
            <w:shd w:val="clear" w:color="auto" w:fill="FFFFFF"/>
            <w:tcBorders>
              <w:left w:val="single" w:sz="4"/>
              <w:right w:val="single" w:sz="4"/>
              <w:top w:val="single" w:sz="4"/>
            </w:tcBorders>
            <w:vAlign w:val="center"/>
          </w:tcPr>
          <w:p>
            <w:pPr>
              <w:pStyle w:val="Style18"/>
              <w:framePr w:w="997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r>
      <w:tr>
        <w:trPr>
          <w:trHeight w:val="428" w:hRule="exact"/>
        </w:trPr>
        <w:tc>
          <w:tcPr>
            <w:shd w:val="clear" w:color="auto" w:fill="FFFFFF"/>
            <w:vMerge/>
            <w:tcBorders>
              <w:left w:val="single" w:sz="4"/>
            </w:tcBorders>
            <w:vAlign w:val="center"/>
          </w:tcPr>
          <w:p>
            <w:pPr>
              <w:framePr w:w="9972" w:wrap="notBeside" w:vAnchor="text" w:hAnchor="text" w:xAlign="center" w:y="1"/>
            </w:pPr>
          </w:p>
        </w:tc>
        <w:tc>
          <w:tcPr>
            <w:shd w:val="clear" w:color="auto" w:fill="FFFFFF"/>
            <w:tcBorders>
              <w:left w:val="single" w:sz="4"/>
              <w:top w:val="single" w:sz="4"/>
            </w:tcBorders>
            <w:vAlign w:val="bottom"/>
          </w:tcPr>
          <w:p>
            <w:pPr>
              <w:pStyle w:val="Style18"/>
              <w:framePr w:w="9972" w:wrap="notBeside" w:vAnchor="text" w:hAnchor="text" w:xAlign="center" w:y="1"/>
              <w:widowControl w:val="0"/>
              <w:keepNext w:val="0"/>
              <w:keepLines w:val="0"/>
              <w:shd w:val="clear" w:color="auto" w:fill="auto"/>
              <w:bidi w:val="0"/>
              <w:jc w:val="left"/>
              <w:spacing w:before="0" w:after="0" w:line="209" w:lineRule="exact"/>
              <w:ind w:left="120" w:right="0" w:firstLine="0"/>
            </w:pPr>
            <w:r>
              <w:rPr>
                <w:rStyle w:val="CharStyle31"/>
              </w:rPr>
              <w:t>Максимально допустимое изменение линейных размеров главного профиля после теплового воздействия</w:t>
            </w:r>
          </w:p>
        </w:tc>
        <w:tc>
          <w:tcPr>
            <w:shd w:val="clear" w:color="auto" w:fill="FFFFFF"/>
            <w:tcBorders>
              <w:left w:val="single" w:sz="4"/>
              <w:top w:val="single" w:sz="4"/>
            </w:tcBorders>
            <w:vAlign w:val="center"/>
          </w:tcPr>
          <w:p>
            <w:pPr>
              <w:pStyle w:val="Style18"/>
              <w:framePr w:w="997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&lt;2</w:t>
            </w:r>
          </w:p>
        </w:tc>
        <w:tc>
          <w:tcPr>
            <w:shd w:val="clear" w:color="auto" w:fill="FFFFFF"/>
            <w:tcBorders>
              <w:left w:val="single" w:sz="4"/>
              <w:right w:val="single" w:sz="4"/>
              <w:top w:val="single" w:sz="4"/>
            </w:tcBorders>
            <w:vAlign w:val="center"/>
          </w:tcPr>
          <w:p>
            <w:pPr>
              <w:pStyle w:val="Style18"/>
              <w:framePr w:w="997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r>
      <w:tr>
        <w:trPr>
          <w:trHeight w:val="436" w:hRule="exact"/>
        </w:trPr>
        <w:tc>
          <w:tcPr>
            <w:shd w:val="clear" w:color="auto" w:fill="FFFFFF"/>
            <w:vMerge/>
            <w:tcBorders>
              <w:left w:val="single" w:sz="4"/>
              <w:bottom w:val="single" w:sz="4"/>
            </w:tcBorders>
            <w:vAlign w:val="center"/>
          </w:tcPr>
          <w:p>
            <w:pPr>
              <w:framePr w:w="9972" w:wrap="notBeside" w:vAnchor="text" w:hAnchor="text" w:xAlign="center" w:y="1"/>
            </w:pPr>
          </w:p>
        </w:tc>
        <w:tc>
          <w:tcPr>
            <w:shd w:val="clear" w:color="auto" w:fill="FFFFFF"/>
            <w:tcBorders>
              <w:left w:val="single" w:sz="4"/>
              <w:top w:val="single" w:sz="4"/>
              <w:bottom w:val="single" w:sz="4"/>
            </w:tcBorders>
            <w:vAlign w:val="bottom"/>
          </w:tcPr>
          <w:p>
            <w:pPr>
              <w:pStyle w:val="Style18"/>
              <w:framePr w:w="9972" w:wrap="notBeside" w:vAnchor="text" w:hAnchor="text" w:xAlign="center" w:y="1"/>
              <w:widowControl w:val="0"/>
              <w:keepNext w:val="0"/>
              <w:keepLines w:val="0"/>
              <w:shd w:val="clear" w:color="auto" w:fill="auto"/>
              <w:bidi w:val="0"/>
              <w:jc w:val="left"/>
              <w:spacing w:before="0" w:after="0" w:line="202" w:lineRule="exact"/>
              <w:ind w:left="120" w:right="0" w:firstLine="0"/>
            </w:pPr>
            <w:r>
              <w:rPr>
                <w:rStyle w:val="CharStyle31"/>
              </w:rPr>
              <w:t>Минимальное сопротивление статическим нагрузкам в плоскости створки</w:t>
            </w:r>
          </w:p>
        </w:tc>
        <w:tc>
          <w:tcPr>
            <w:shd w:val="clear" w:color="auto" w:fill="FFFFFF"/>
            <w:tcBorders>
              <w:left w:val="single" w:sz="4"/>
              <w:top w:val="single" w:sz="4"/>
              <w:bottom w:val="single" w:sz="4"/>
            </w:tcBorders>
            <w:vAlign w:val="center"/>
          </w:tcPr>
          <w:p>
            <w:pPr>
              <w:pStyle w:val="Style18"/>
              <w:framePr w:w="997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&lt;1155</w:t>
            </w:r>
          </w:p>
        </w:tc>
        <w:tc>
          <w:tcPr>
            <w:shd w:val="clear" w:color="auto" w:fill="FFFFFF"/>
            <w:tcBorders>
              <w:left w:val="single" w:sz="4"/>
              <w:right w:val="single" w:sz="4"/>
              <w:top w:val="single" w:sz="4"/>
              <w:bottom w:val="single" w:sz="4"/>
            </w:tcBorders>
            <w:vAlign w:val="center"/>
          </w:tcPr>
          <w:p>
            <w:pPr>
              <w:pStyle w:val="Style18"/>
              <w:framePr w:w="997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w:t>
            </w:r>
          </w:p>
        </w:tc>
      </w:tr>
    </w:tbl>
    <w:p>
      <w:pPr>
        <w:widowControl w:val="0"/>
        <w:rPr>
          <w:sz w:val="2"/>
          <w:szCs w:val="2"/>
        </w:rPr>
      </w:pPr>
    </w:p>
    <w:p>
      <w:pPr>
        <w:pStyle w:val="Style18"/>
        <w:widowControl w:val="0"/>
        <w:keepNext w:val="0"/>
        <w:keepLines w:val="0"/>
        <w:shd w:val="clear" w:color="auto" w:fill="auto"/>
        <w:bidi w:val="0"/>
        <w:spacing w:before="217" w:after="236" w:line="320" w:lineRule="exact"/>
        <w:ind w:left="20" w:right="60" w:firstLine="720"/>
      </w:pPr>
      <w:r>
        <w:rPr>
          <w:lang w:val="ru-RU" w:eastAsia="ru-RU" w:bidi="ru-RU"/>
          <w:w w:val="100"/>
          <w:spacing w:val="0"/>
          <w:color w:val="000000"/>
          <w:position w:val="0"/>
        </w:rPr>
        <w:t>Описанием объекта закупки предусмотрено, в том числе, что для выполнения работ Заказчику требуются товары со следующими характеристиками, обжалуемыми ООО «НовоСтрой»:</w:t>
      </w:r>
    </w:p>
    <w:tbl>
      <w:tblPr>
        <w:tblOverlap w:val="never"/>
        <w:tblLayout w:type="fixed"/>
        <w:jc w:val="center"/>
      </w:tblPr>
      <w:tblGrid>
        <w:gridCol w:w="1440"/>
        <w:gridCol w:w="5177"/>
        <w:gridCol w:w="2405"/>
        <w:gridCol w:w="925"/>
      </w:tblGrid>
      <w:tr>
        <w:trPr>
          <w:trHeight w:val="486" w:hRule="exact"/>
        </w:trPr>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Наименование</w:t>
            </w:r>
          </w:p>
          <w:p>
            <w:pPr>
              <w:pStyle w:val="Style18"/>
              <w:framePr w:w="9947"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товара</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Требуемый параметр</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Требуемое значение</w:t>
            </w:r>
          </w:p>
        </w:tc>
        <w:tc>
          <w:tcPr>
            <w:shd w:val="clear" w:color="auto" w:fill="FFFFFF"/>
            <w:tcBorders>
              <w:left w:val="single" w:sz="4"/>
              <w:righ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Ед. изм.</w:t>
            </w:r>
          </w:p>
        </w:tc>
      </w:tr>
      <w:tr>
        <w:trPr>
          <w:trHeight w:val="216" w:hRule="exact"/>
        </w:trPr>
        <w:tc>
          <w:tcPr>
            <w:shd w:val="clear" w:color="auto" w:fill="FFFFFF"/>
            <w:vMerge w:val="restart"/>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Доска</w:t>
            </w:r>
          </w:p>
          <w:p>
            <w:pPr>
              <w:pStyle w:val="Style18"/>
              <w:framePr w:w="9947"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подоконная</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ударная вязкость по Шарпи</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&gt;20</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кДж/м</w:t>
            </w:r>
            <w:r>
              <w:rPr>
                <w:rStyle w:val="CharStyle31"/>
                <w:vertAlign w:val="superscript"/>
              </w:rPr>
              <w:t>2</w:t>
            </w:r>
          </w:p>
        </w:tc>
      </w:tr>
      <w:tr>
        <w:trPr>
          <w:trHeight w:val="216"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температура размягчения по Вика</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&lt;78</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w:t>
            </w:r>
          </w:p>
        </w:tc>
      </w:tr>
      <w:tr>
        <w:trPr>
          <w:trHeight w:val="212"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Минимальная прочность при растяжении</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&lt;40</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216" w:hRule="exact"/>
        </w:trPr>
        <w:tc>
          <w:tcPr>
            <w:shd w:val="clear" w:color="auto" w:fill="FFFFFF"/>
            <w:vMerge w:val="restart"/>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Водоотлив</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Максимальное количество перегибов без излома</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w:t>
            </w:r>
          </w:p>
        </w:tc>
        <w:tc>
          <w:tcPr>
            <w:shd w:val="clear" w:color="auto" w:fill="FFFFFF"/>
            <w:tcBorders>
              <w:left w:val="single" w:sz="4"/>
              <w:right w:val="single" w:sz="4"/>
              <w:top w:val="single" w:sz="4"/>
            </w:tcBorders>
            <w:vAlign w:val="top"/>
          </w:tcPr>
          <w:p>
            <w:pPr>
              <w:framePr w:w="9947" w:wrap="notBeside" w:vAnchor="text" w:hAnchor="text" w:xAlign="center" w:y="1"/>
              <w:widowControl w:val="0"/>
              <w:rPr>
                <w:sz w:val="10"/>
                <w:szCs w:val="10"/>
              </w:rPr>
            </w:pPr>
          </w:p>
        </w:tc>
      </w:tr>
      <w:tr>
        <w:trPr>
          <w:trHeight w:val="220"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Временное сопротивление разрыву</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&gt;280</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425" w:hRule="exact"/>
        </w:trPr>
        <w:tc>
          <w:tcPr>
            <w:shd w:val="clear" w:color="auto" w:fill="FFFFFF"/>
            <w:vMerge w:val="restart"/>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spacing w:before="0" w:after="0" w:line="209" w:lineRule="exact"/>
              <w:ind w:left="0" w:right="0" w:firstLine="0"/>
            </w:pPr>
            <w:r>
              <w:rPr>
                <w:rStyle w:val="CharStyle31"/>
              </w:rPr>
              <w:t>Краски водно</w:t>
              <w:softHyphen/>
              <w:t>дисперсионные</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Время высыхания до степени 3</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31"/>
              </w:rPr>
              <w:t>не должно быть более 1 при температуре 20 °С</w:t>
            </w:r>
          </w:p>
        </w:tc>
        <w:tc>
          <w:tcPr>
            <w:shd w:val="clear" w:color="auto" w:fill="FFFFFF"/>
            <w:tcBorders>
              <w:left w:val="single" w:sz="4"/>
              <w:righ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ч</w:t>
            </w:r>
          </w:p>
        </w:tc>
      </w:tr>
      <w:tr>
        <w:trPr>
          <w:trHeight w:val="216"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Массовая доля нелетучих веществ*</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&gt;51</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r>
      <w:tr>
        <w:trPr>
          <w:trHeight w:val="216"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Морозостойкость краски:</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менее 5</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циклы</w:t>
            </w:r>
          </w:p>
        </w:tc>
      </w:tr>
      <w:tr>
        <w:trPr>
          <w:trHeight w:val="425" w:hRule="exact"/>
        </w:trPr>
        <w:tc>
          <w:tcPr>
            <w:shd w:val="clear" w:color="auto" w:fill="FFFFFF"/>
            <w:vMerge w:val="restart"/>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ЭМАЛЬ</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205" w:lineRule="exact"/>
              <w:ind w:left="120" w:right="0" w:firstLine="0"/>
            </w:pPr>
            <w:r>
              <w:rPr>
                <w:rStyle w:val="CharStyle31"/>
              </w:rPr>
              <w:t>Условная вязкость при температуре 20°С по вискозиметру ВЗ- 246 с диаметром сопла 4 мм:</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менее 20</w:t>
            </w:r>
          </w:p>
        </w:tc>
        <w:tc>
          <w:tcPr>
            <w:shd w:val="clear" w:color="auto" w:fill="FFFFFF"/>
            <w:tcBorders>
              <w:left w:val="single" w:sz="4"/>
              <w:righ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w:t>
            </w:r>
          </w:p>
        </w:tc>
      </w:tr>
      <w:tr>
        <w:trPr>
          <w:trHeight w:val="216"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Массовая доля нелетучих веществ*</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&gt;45</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r>
      <w:tr>
        <w:trPr>
          <w:trHeight w:val="216"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Время высыхания до степени 3 при температуре 20°С:</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более 4</w:t>
            </w:r>
          </w:p>
        </w:tc>
        <w:tc>
          <w:tcPr>
            <w:shd w:val="clear" w:color="auto" w:fill="FFFFFF"/>
            <w:tcBorders>
              <w:left w:val="single" w:sz="4"/>
              <w:righ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ч</w:t>
            </w:r>
          </w:p>
        </w:tc>
      </w:tr>
      <w:tr>
        <w:trPr>
          <w:trHeight w:val="230" w:hRule="exact"/>
        </w:trPr>
        <w:tc>
          <w:tcPr>
            <w:shd w:val="clear" w:color="auto" w:fill="FFFFFF"/>
            <w:vMerge/>
            <w:tcBorders>
              <w:left w:val="single" w:sz="4"/>
              <w:bottom w:val="single" w:sz="4"/>
            </w:tcBorders>
            <w:vAlign w:val="center"/>
          </w:tcPr>
          <w:p>
            <w:pPr>
              <w:framePr w:w="9947" w:wrap="notBeside" w:vAnchor="text" w:hAnchor="text" w:xAlign="center" w:y="1"/>
            </w:pPr>
          </w:p>
        </w:tc>
        <w:tc>
          <w:tcPr>
            <w:shd w:val="clear" w:color="auto" w:fill="FFFFFF"/>
            <w:tcBorders>
              <w:left w:val="single" w:sz="4"/>
              <w:top w:val="single" w:sz="4"/>
              <w:bottom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Степень перетира</w:t>
            </w:r>
          </w:p>
        </w:tc>
        <w:tc>
          <w:tcPr>
            <w:shd w:val="clear" w:color="auto" w:fill="FFFFFF"/>
            <w:tcBorders>
              <w:left w:val="single" w:sz="4"/>
              <w:top w:val="single" w:sz="4"/>
              <w:bottom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более 50</w:t>
            </w:r>
          </w:p>
        </w:tc>
        <w:tc>
          <w:tcPr>
            <w:shd w:val="clear" w:color="auto" w:fill="FFFFFF"/>
            <w:tcBorders>
              <w:left w:val="single" w:sz="4"/>
              <w:right w:val="single" w:sz="4"/>
              <w:top w:val="single" w:sz="4"/>
              <w:bottom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мкм</w:t>
            </w:r>
          </w:p>
        </w:tc>
      </w:tr>
    </w:tbl>
    <w:p>
      <w:pPr>
        <w:widowControl w:val="0"/>
        <w:rPr>
          <w:sz w:val="2"/>
          <w:szCs w:val="2"/>
        </w:rPr>
      </w:pPr>
    </w:p>
    <w:p>
      <w:pPr>
        <w:pStyle w:val="Style33"/>
        <w:widowControl w:val="0"/>
        <w:keepNext w:val="0"/>
        <w:keepLines w:val="0"/>
        <w:shd w:val="clear" w:color="auto" w:fill="auto"/>
        <w:bidi w:val="0"/>
        <w:spacing w:before="223" w:after="0"/>
        <w:ind w:left="20" w:right="60" w:firstLine="720"/>
      </w:pPr>
      <w:r>
        <w:rPr>
          <w:rStyle w:val="CharStyle35"/>
          <w:i w:val="0"/>
          <w:iCs w:val="0"/>
        </w:rPr>
        <w:t>Инструкцией по заполнению заявки на участие в электронном аукционе, содержащейся в п. 19 раздела I аукционной документации (далее - Инструкция), установлено, что &lt;&lt;</w:t>
      </w:r>
      <w:r>
        <w:rPr>
          <w:lang w:val="ru-RU" w:eastAsia="ru-RU" w:bidi="ru-RU"/>
          <w:w w:val="100"/>
          <w:spacing w:val="0"/>
          <w:color w:val="000000"/>
          <w:position w:val="0"/>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(далее - аукционная документация)».</w:t>
      </w:r>
    </w:p>
    <w:p>
      <w:pPr>
        <w:pStyle w:val="Style18"/>
        <w:widowControl w:val="0"/>
        <w:keepNext w:val="0"/>
        <w:keepLines w:val="0"/>
        <w:shd w:val="clear" w:color="auto" w:fill="auto"/>
        <w:bidi w:val="0"/>
        <w:spacing w:before="0" w:after="0" w:line="313" w:lineRule="exact"/>
        <w:ind w:left="20" w:right="60" w:firstLine="720"/>
      </w:pPr>
      <w:r>
        <w:rPr>
          <w:lang w:val="ru-RU" w:eastAsia="ru-RU" w:bidi="ru-RU"/>
          <w:w w:val="100"/>
          <w:spacing w:val="0"/>
          <w:color w:val="000000"/>
          <w:position w:val="0"/>
        </w:rPr>
        <w:t>Вместе с тем, при проведении внеплановой проверки установлено, что положениями технических регламентов, стандартов и иных документов, предусмотренных законодательством Российской Федерации о техническом регулировании, по оспариваемым товарам, в частности, предусмотрено следующее:</w:t>
      </w:r>
    </w:p>
    <w:p>
      <w:pPr>
        <w:pStyle w:val="Style18"/>
        <w:tabs>
          <w:tab w:leader="none" w:pos="1158" w:val="left"/>
        </w:tabs>
        <w:widowControl w:val="0"/>
        <w:keepNext w:val="0"/>
        <w:keepLines w:val="0"/>
        <w:shd w:val="clear" w:color="auto" w:fill="auto"/>
        <w:bidi w:val="0"/>
        <w:spacing w:before="0" w:after="0" w:line="313" w:lineRule="exact"/>
        <w:ind w:left="20" w:right="60" w:firstLine="720"/>
      </w:pPr>
      <w:r>
        <w:rPr>
          <w:lang w:val="ru-RU" w:eastAsia="ru-RU" w:bidi="ru-RU"/>
          <w:w w:val="100"/>
          <w:spacing w:val="0"/>
          <w:color w:val="000000"/>
          <w:position w:val="0"/>
        </w:rPr>
        <w:t>А)</w:t>
        <w:tab/>
        <w:t>Разделом 6 ГОСТ 30673-2013 «Профили поливинилхлоридные для оконных и дверных блоков. Технические условия» установлены методы испытаний товара и обработка полученных результатов, в том числе:</w:t>
      </w:r>
    </w:p>
    <w:p>
      <w:pPr>
        <w:pStyle w:val="Style18"/>
        <w:widowControl w:val="0"/>
        <w:keepNext w:val="0"/>
        <w:keepLines w:val="0"/>
        <w:shd w:val="clear" w:color="auto" w:fill="auto"/>
        <w:bidi w:val="0"/>
        <w:spacing w:before="0" w:after="0" w:line="313" w:lineRule="exact"/>
        <w:ind w:left="20" w:right="60" w:firstLine="540"/>
      </w:pPr>
      <w:r>
        <w:rPr>
          <w:lang w:val="ru-RU" w:eastAsia="ru-RU" w:bidi="ru-RU"/>
          <w:w w:val="100"/>
          <w:spacing w:val="0"/>
          <w:color w:val="000000"/>
          <w:position w:val="0"/>
        </w:rPr>
        <w:t>- п. 6.6 ГОСТ 30673-2013: Изменение линейных размеров после теплового воздействия (термоусадку) проводят по ГОСТ 11529, методом «по рискам», на трех образцах длиной (220 +/- 5) мм в продольном направлении со следующими дополнениями: расстояние между иглами разметочного шаблона - (200 +/- 0,2) мм; риски наносят на лицевые поверхности образца; образец укладывают на стеклянную пластинку, покрытую тальком; температура теплового воздействия - (100 +/- 2) °С, время - (60 +/- 2) мин. Изменения линейных размеров каждого образца не должны превышать установленных значений.</w:t>
      </w:r>
    </w:p>
    <w:p>
      <w:pPr>
        <w:pStyle w:val="Style18"/>
        <w:widowControl w:val="0"/>
        <w:keepNext w:val="0"/>
        <w:keepLines w:val="0"/>
        <w:shd w:val="clear" w:color="auto" w:fill="auto"/>
        <w:bidi w:val="0"/>
        <w:spacing w:before="0" w:after="0" w:line="313" w:lineRule="exact"/>
        <w:ind w:left="20" w:right="60" w:firstLine="720"/>
      </w:pPr>
      <w:r>
        <w:rPr>
          <w:lang w:val="ru-RU" w:eastAsia="ru-RU" w:bidi="ru-RU"/>
          <w:w w:val="100"/>
          <w:spacing w:val="0"/>
          <w:color w:val="000000"/>
          <w:position w:val="0"/>
        </w:rPr>
        <w:t>- п. 6.10 ГОСТ 30673-2013: Температуру размягчения по Вика определяют по ГОСТ 15088 (способ В, вариант нагревания 1, теплопередающая среда - силиконовое масло и жидкий парафин) на трех образцах, вырезанных из лицевых внешних стенок профиля. Допускается проводить испытание в воздушной среде. За результат испытания принимают среднее арифметическое значение результатов испытаний трех образцов.</w:t>
      </w:r>
    </w:p>
    <w:p>
      <w:pPr>
        <w:pStyle w:val="Style18"/>
        <w:numPr>
          <w:ilvl w:val="0"/>
          <w:numId w:val="3"/>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п. 6.11 ГОСТ 30673-2013: Прочность и модуль упругости при растяжении определяют по ГОСТ 11262 и ГОСТ 9550 соответственно на пяти образцах со следующими дополнениями: тип образца - 3, ширина образца - (15,0 +/- 0,5) мм; длина - (100 +/- 1) мм; образцы вырезают из лицевой стенки профиля в направлении его продольной оси; толщина равна толщине профиля в месте вырезки образца; скорость перемещения захватов при определении прочности при растяжении (50 +/- 5) мм/мин и (2 +/- 0,2) мм/мин - при определении модуля упругости. За результат испытаний принимают среднеарифметическое значение результатов испытаний пяти образцов;</w:t>
      </w:r>
    </w:p>
    <w:p>
      <w:pPr>
        <w:pStyle w:val="Style18"/>
        <w:numPr>
          <w:ilvl w:val="0"/>
          <w:numId w:val="3"/>
        </w:numPr>
        <w:widowControl w:val="0"/>
        <w:keepNext w:val="0"/>
        <w:keepLines w:val="0"/>
        <w:shd w:val="clear" w:color="auto" w:fill="auto"/>
        <w:bidi w:val="0"/>
        <w:spacing w:before="0" w:after="0" w:line="317" w:lineRule="exact"/>
        <w:ind w:left="0" w:right="20" w:firstLine="520"/>
      </w:pPr>
      <w:r>
        <w:rPr>
          <w:lang w:val="ru-RU" w:eastAsia="ru-RU" w:bidi="ru-RU"/>
          <w:w w:val="100"/>
          <w:spacing w:val="0"/>
          <w:color w:val="000000"/>
          <w:position w:val="0"/>
        </w:rPr>
        <w:t xml:space="preserve"> п. 6.12 ГОСТ 30673-2013: Ударную вязкость по Шарпи определяют по ГОСТ 4647 на десяти образцах с надрезом типа В [радиус основания надреза (1,00 +/- 0,05) мм] со следующими дополнениями: образцы вырезают из внешней лицевой стенки профиля в направлении его продольной оси; размер образца: длина - (50 +/- 1) мм; ширина - (6,0 +/- 0,2) мм; толщина равна толщине стенки профиля; надрез наносят с внутренней стороны образца, толщина образца под надрезом должна составлять не менее 2/3 общей толщины образца, удар производят по внешней плоскости образца; допускается определять ударную вязкость на образцах с двойным </w:t>
      </w:r>
      <w:r>
        <w:rPr>
          <w:lang w:val="en-US" w:eastAsia="en-US" w:bidi="en-US"/>
          <w:w w:val="100"/>
          <w:spacing w:val="0"/>
          <w:color w:val="000000"/>
          <w:position w:val="0"/>
        </w:rPr>
        <w:t>V</w:t>
      </w:r>
      <w:r>
        <w:rPr>
          <w:lang w:val="ru-RU" w:eastAsia="ru-RU" w:bidi="ru-RU"/>
          <w:w w:val="100"/>
          <w:spacing w:val="0"/>
          <w:color w:val="000000"/>
          <w:position w:val="0"/>
        </w:rPr>
        <w:t>-образным надрезом (тип надреза С) на противоположных кромках посредине образца, радиус надрезов - (0,10 +/- 0,02) мм, расстояние между надрезами по телу образца - (3,0 +/- 0,1) мм; за результат испытаний принимают среднее арифметическое значение результатов испытаний десяти образцов. При этом каждый результат испытания должен быть</w:t>
      </w:r>
    </w:p>
    <w:p>
      <w:pPr>
        <w:pStyle w:val="Style36"/>
        <w:tabs>
          <w:tab w:leader="none" w:pos="8184" w:val="right"/>
        </w:tabs>
        <w:widowControl w:val="0"/>
        <w:keepNext w:val="0"/>
        <w:keepLines w:val="0"/>
        <w:shd w:val="clear" w:color="auto" w:fill="auto"/>
        <w:bidi w:val="0"/>
        <w:spacing w:before="0" w:after="0" w:line="130" w:lineRule="exact"/>
        <w:ind w:left="1920" w:right="0" w:firstLine="0"/>
      </w:pPr>
      <w:r>
        <w:rPr>
          <w:lang w:val="ru-RU" w:eastAsia="ru-RU" w:bidi="ru-RU"/>
          <w:w w:val="100"/>
          <w:spacing w:val="0"/>
          <w:color w:val="000000"/>
          <w:position w:val="0"/>
        </w:rPr>
        <w:t>9</w:t>
        <w:tab/>
        <w:t>9</w:t>
      </w:r>
    </w:p>
    <w:p>
      <w:pPr>
        <w:pStyle w:val="Style18"/>
        <w:widowControl w:val="0"/>
        <w:keepNext w:val="0"/>
        <w:keepLines w:val="0"/>
        <w:shd w:val="clear" w:color="auto" w:fill="auto"/>
        <w:bidi w:val="0"/>
        <w:spacing w:before="0" w:after="0" w:line="317" w:lineRule="exact"/>
        <w:ind w:left="0" w:right="0" w:firstLine="0"/>
      </w:pPr>
      <w:r>
        <w:rPr>
          <w:lang w:val="ru-RU" w:eastAsia="ru-RU" w:bidi="ru-RU"/>
          <w:w w:val="100"/>
          <w:spacing w:val="0"/>
          <w:color w:val="000000"/>
          <w:position w:val="0"/>
        </w:rPr>
        <w:t xml:space="preserve">не менее 12 кДж/м , а на образцах с двойным </w:t>
      </w:r>
      <w:r>
        <w:rPr>
          <w:lang w:val="en-US" w:eastAsia="en-US" w:bidi="en-US"/>
          <w:w w:val="100"/>
          <w:spacing w:val="0"/>
          <w:color w:val="000000"/>
          <w:position w:val="0"/>
        </w:rPr>
        <w:t>V</w:t>
      </w:r>
      <w:r>
        <w:rPr>
          <w:lang w:val="ru-RU" w:eastAsia="ru-RU" w:bidi="ru-RU"/>
          <w:w w:val="100"/>
          <w:spacing w:val="0"/>
          <w:color w:val="000000"/>
          <w:position w:val="0"/>
        </w:rPr>
        <w:t>-образным надрезом - 20 кДж/м ;</w:t>
      </w:r>
    </w:p>
    <w:p>
      <w:pPr>
        <w:pStyle w:val="Style18"/>
        <w:numPr>
          <w:ilvl w:val="0"/>
          <w:numId w:val="3"/>
        </w:numPr>
        <w:widowControl w:val="0"/>
        <w:keepNext w:val="0"/>
        <w:keepLines w:val="0"/>
        <w:shd w:val="clear" w:color="auto" w:fill="auto"/>
        <w:bidi w:val="0"/>
        <w:spacing w:before="0" w:after="0" w:line="317" w:lineRule="exact"/>
        <w:ind w:left="0" w:right="20" w:firstLine="520"/>
      </w:pPr>
      <w:r>
        <w:rPr>
          <w:lang w:val="ru-RU" w:eastAsia="ru-RU" w:bidi="ru-RU"/>
          <w:w w:val="100"/>
          <w:spacing w:val="0"/>
          <w:color w:val="000000"/>
          <w:position w:val="0"/>
        </w:rPr>
        <w:t xml:space="preserve"> п. 6.16 ГОСТ 30673-2013: Приведенное сопротивление теплопередаче профилей (комбинации профилей) определяют по ГОСТ 26602.1. Испытания проводят с использованием калибровочной сэндвич-панели, близкой по термическому сопротивлению расчетному значению термического сопротивления комбинации профилей. Толщина панели должна быть максимально приближена к толщине предполагаемого элемента остекления. При оформлении результатов испытаний рекомендуется приводить значения приведенного сопротивления теплопередаче комбинации профилей с установленным усилительным вкладышем, термического сопротивления, а также чертеж сечения испытуемой комбинации профилей.</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Б) Методика проведения испытаний товара и обработка полученных результатов закреплены в разделе 5 ГОСТ 14918-80 «Сталь тонколистовая оцинкованная с непрерывных линий. Технические условия», в соответствии с которым:</w:t>
      </w:r>
    </w:p>
    <w:p>
      <w:pPr>
        <w:pStyle w:val="Style18"/>
        <w:numPr>
          <w:ilvl w:val="0"/>
          <w:numId w:val="3"/>
        </w:numPr>
        <w:widowControl w:val="0"/>
        <w:keepNext w:val="0"/>
        <w:keepLines w:val="0"/>
        <w:shd w:val="clear" w:color="auto" w:fill="auto"/>
        <w:bidi w:val="0"/>
        <w:spacing w:before="0" w:after="0" w:line="317" w:lineRule="exact"/>
        <w:ind w:left="0" w:right="0" w:firstLine="700"/>
      </w:pPr>
      <w:r>
        <w:rPr>
          <w:lang w:val="ru-RU" w:eastAsia="ru-RU" w:bidi="ru-RU"/>
          <w:w w:val="100"/>
          <w:spacing w:val="0"/>
          <w:color w:val="000000"/>
          <w:position w:val="0"/>
        </w:rPr>
        <w:t xml:space="preserve"> п. 5.5 ГОСТ 14918-80: Испытание на перегиб проводят по ГОСТ 13813-68.</w:t>
      </w:r>
    </w:p>
    <w:p>
      <w:pPr>
        <w:pStyle w:val="Style18"/>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ГОСТ 13813-68 «Металлы. Метод испытания на перегиб листов и лент толщиной менее 4 мм» устанавливает метод испытания на перегиб листов и лент толщиной менее 4 мм, при этом испытание состоит в многократном перегибе на 90° от исходного положения в одну и другую сторону образца прямоугольного сечения, закрепленного на зажимах прибора.</w:t>
      </w:r>
    </w:p>
    <w:p>
      <w:pPr>
        <w:pStyle w:val="Style18"/>
        <w:numPr>
          <w:ilvl w:val="0"/>
          <w:numId w:val="3"/>
        </w:numPr>
        <w:widowControl w:val="0"/>
        <w:keepNext w:val="0"/>
        <w:keepLines w:val="0"/>
        <w:shd w:val="clear" w:color="auto" w:fill="auto"/>
        <w:bidi w:val="0"/>
        <w:spacing w:before="0" w:after="0" w:line="320" w:lineRule="exact"/>
        <w:ind w:left="0" w:right="0" w:firstLine="520"/>
      </w:pPr>
      <w:r>
        <w:rPr>
          <w:lang w:val="ru-RU" w:eastAsia="ru-RU" w:bidi="ru-RU"/>
          <w:w w:val="100"/>
          <w:spacing w:val="0"/>
          <w:color w:val="000000"/>
          <w:position w:val="0"/>
        </w:rPr>
        <w:t xml:space="preserve"> п. 5.7 ГОСТ 14918-80: Испытание на растяжение проводят по ГОСТ 11701-84.</w:t>
      </w:r>
    </w:p>
    <w:p>
      <w:pPr>
        <w:pStyle w:val="Style18"/>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ГОСТ 11701-84 «Металлы. Методы испытаний на растяжение тонких листов и лент» устанавливает методы статических испытаний на растяжение тонких листов и лент из черных и цветных металлов для определения характеристик механических свойств, в том числе, временного сопротивления; относительного равномерного удлинения; относительного удлинения после разрыва. Для проведения указанных испытаний раздел 2 ГОСТ 11701-84 предусматривает наличие следующей аппаратуры: разрывные и универсальные испытательные машины - по ГОСТ 7855-84; штангенциркули, микрометры - по ГОСТ 1497-84; тензометры с относительной ценой деления - по ГОСТ 1497-84.</w:t>
      </w:r>
    </w:p>
    <w:p>
      <w:pPr>
        <w:pStyle w:val="Style18"/>
        <w:tabs>
          <w:tab w:leader="none" w:pos="994" w:val="left"/>
        </w:tabs>
        <w:widowControl w:val="0"/>
        <w:keepNext w:val="0"/>
        <w:keepLines w:val="0"/>
        <w:shd w:val="clear" w:color="auto" w:fill="auto"/>
        <w:bidi w:val="0"/>
        <w:spacing w:before="0" w:after="0" w:line="317" w:lineRule="exact"/>
        <w:ind w:left="80" w:right="80" w:firstLine="560"/>
      </w:pPr>
      <w:r>
        <w:rPr>
          <w:lang w:val="ru-RU" w:eastAsia="ru-RU" w:bidi="ru-RU"/>
          <w:w w:val="100"/>
          <w:spacing w:val="0"/>
          <w:color w:val="000000"/>
          <w:position w:val="0"/>
        </w:rPr>
        <w:t>В)</w:t>
        <w:tab/>
        <w:t>ГОСТ 28196-89 «Краски водно-дисперсионные. Технические условия» распространяет свое действие на водно-дисперсионные краски, представляющие собой суспензии пигментов и наполнителей в водных дисперсиях синтетических полимеров с добавлением различных вспомогательных веществ (эмульгатора, стабилизатора и др.).</w:t>
      </w:r>
    </w:p>
    <w:p>
      <w:pPr>
        <w:pStyle w:val="Style18"/>
        <w:widowControl w:val="0"/>
        <w:keepNext w:val="0"/>
        <w:keepLines w:val="0"/>
        <w:shd w:val="clear" w:color="auto" w:fill="auto"/>
        <w:bidi w:val="0"/>
        <w:spacing w:before="0" w:after="237" w:line="317" w:lineRule="exact"/>
        <w:ind w:left="80" w:right="0" w:firstLine="720"/>
      </w:pPr>
      <w:r>
        <w:rPr>
          <w:lang w:val="ru-RU" w:eastAsia="ru-RU" w:bidi="ru-RU"/>
          <w:w w:val="100"/>
          <w:spacing w:val="0"/>
          <w:color w:val="000000"/>
          <w:position w:val="0"/>
        </w:rPr>
        <w:t>В п. 1.3.1 ГОСТ 28196-89 предусматривает следующее:</w:t>
      </w:r>
    </w:p>
    <w:tbl>
      <w:tblPr>
        <w:tblOverlap w:val="never"/>
        <w:tblLayout w:type="fixed"/>
        <w:jc w:val="center"/>
      </w:tblPr>
      <w:tblGrid>
        <w:gridCol w:w="3388"/>
        <w:gridCol w:w="677"/>
        <w:gridCol w:w="680"/>
        <w:gridCol w:w="684"/>
        <w:gridCol w:w="677"/>
        <w:gridCol w:w="673"/>
        <w:gridCol w:w="673"/>
        <w:gridCol w:w="677"/>
        <w:gridCol w:w="1958"/>
      </w:tblGrid>
      <w:tr>
        <w:trPr>
          <w:trHeight w:val="320" w:hRule="exact"/>
        </w:trPr>
        <w:tc>
          <w:tcPr>
            <w:shd w:val="clear" w:color="auto" w:fill="FFFFFF"/>
            <w:vMerge w:val="restart"/>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Наименование показателя</w:t>
            </w:r>
          </w:p>
        </w:tc>
        <w:tc>
          <w:tcPr>
            <w:shd w:val="clear" w:color="auto" w:fill="FFFFFF"/>
            <w:gridSpan w:val="7"/>
            <w:tcBorders>
              <w:left w:val="single" w:sz="4"/>
              <w:top w:val="single" w:sz="4"/>
            </w:tcBorders>
            <w:vAlign w:val="bottom"/>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Норма для марок</w:t>
            </w:r>
          </w:p>
        </w:tc>
        <w:tc>
          <w:tcPr>
            <w:shd w:val="clear" w:color="auto" w:fill="FFFFFF"/>
            <w:vMerge w:val="restart"/>
            <w:tcBorders>
              <w:left w:val="single" w:sz="4"/>
              <w:righ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Метод испытания</w:t>
            </w:r>
          </w:p>
        </w:tc>
      </w:tr>
      <w:tr>
        <w:trPr>
          <w:trHeight w:val="709" w:hRule="exact"/>
        </w:trPr>
        <w:tc>
          <w:tcPr>
            <w:shd w:val="clear" w:color="auto" w:fill="FFFFFF"/>
            <w:vMerge/>
            <w:tcBorders>
              <w:left w:val="single" w:sz="4"/>
            </w:tcBorders>
            <w:vAlign w:val="center"/>
          </w:tcPr>
          <w:p>
            <w:pPr>
              <w:framePr w:w="10087" w:wrap="notBeside" w:vAnchor="text" w:hAnchor="text" w:xAlign="center" w:y="1"/>
            </w:pPr>
          </w:p>
        </w:tc>
        <w:tc>
          <w:tcPr>
            <w:shd w:val="clear" w:color="auto" w:fill="FFFFFF"/>
            <w:tcBorders>
              <w:left w:val="single" w:sz="4"/>
              <w:top w:val="single" w:sz="4"/>
            </w:tcBorders>
            <w:vAlign w:val="bottom"/>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ВА-</w:t>
            </w:r>
          </w:p>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224</w:t>
            </w:r>
          </w:p>
        </w:tc>
        <w:tc>
          <w:tcPr>
            <w:shd w:val="clear" w:color="auto" w:fill="FFFFFF"/>
            <w:tcBorders>
              <w:left w:val="single" w:sz="4"/>
              <w:top w:val="single" w:sz="4"/>
            </w:tcBorders>
            <w:vAlign w:val="bottom"/>
          </w:tcPr>
          <w:p>
            <w:pPr>
              <w:pStyle w:val="Style18"/>
              <w:framePr w:w="10087"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38"/>
              </w:rPr>
              <w:t>кч-</w:t>
            </w:r>
          </w:p>
          <w:p>
            <w:pPr>
              <w:pStyle w:val="Style18"/>
              <w:framePr w:w="10087"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31"/>
              </w:rPr>
              <w:t>26А</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КЧ-26</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АК-111</w:t>
            </w:r>
          </w:p>
        </w:tc>
        <w:tc>
          <w:tcPr>
            <w:shd w:val="clear" w:color="auto" w:fill="FFFFFF"/>
            <w:tcBorders>
              <w:left w:val="single" w:sz="4"/>
              <w:top w:val="single" w:sz="4"/>
            </w:tcBorders>
            <w:vAlign w:val="bottom"/>
          </w:tcPr>
          <w:p>
            <w:pPr>
              <w:pStyle w:val="Style18"/>
              <w:framePr w:w="10087"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31"/>
              </w:rPr>
              <w:t>АК-</w:t>
            </w:r>
          </w:p>
          <w:p>
            <w:pPr>
              <w:pStyle w:val="Style18"/>
              <w:framePr w:w="10087"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38"/>
              </w:rPr>
              <w:t>111р</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КЧ-183</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вд-</w:t>
            </w:r>
          </w:p>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КЧ-577</w:t>
            </w:r>
          </w:p>
        </w:tc>
        <w:tc>
          <w:tcPr>
            <w:shd w:val="clear" w:color="auto" w:fill="FFFFFF"/>
            <w:vMerge/>
            <w:tcBorders>
              <w:left w:val="single" w:sz="4"/>
              <w:right w:val="single" w:sz="4"/>
            </w:tcBorders>
            <w:vAlign w:val="center"/>
          </w:tcPr>
          <w:p>
            <w:pPr>
              <w:framePr w:w="10087" w:wrap="notBeside" w:vAnchor="text" w:hAnchor="text" w:xAlign="center" w:y="1"/>
            </w:pPr>
          </w:p>
        </w:tc>
      </w:tr>
      <w:tr>
        <w:trPr>
          <w:trHeight w:val="497" w:hRule="exact"/>
        </w:trPr>
        <w:tc>
          <w:tcPr>
            <w:shd w:val="clear" w:color="auto" w:fill="FFFFFF"/>
            <w:tcBorders>
              <w:left w:val="single" w:sz="4"/>
              <w:top w:val="single" w:sz="4"/>
            </w:tcBorders>
            <w:vAlign w:val="bottom"/>
          </w:tcPr>
          <w:p>
            <w:pPr>
              <w:pStyle w:val="Style18"/>
              <w:framePr w:w="10087"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3. Массовая доля нелетучих веществ, %</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53-59</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52-57</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56-61</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52-57</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47-52</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52-57</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55-60</w:t>
            </w:r>
          </w:p>
        </w:tc>
        <w:tc>
          <w:tcPr>
            <w:shd w:val="clear" w:color="auto" w:fill="FFFFFF"/>
            <w:tcBorders>
              <w:left w:val="single" w:sz="4"/>
              <w:right w:val="single" w:sz="4"/>
              <w:top w:val="single" w:sz="4"/>
            </w:tcBorders>
            <w:vAlign w:val="bottom"/>
          </w:tcPr>
          <w:p>
            <w:pPr>
              <w:pStyle w:val="Style18"/>
              <w:framePr w:w="10087" w:wrap="notBeside" w:vAnchor="text" w:hAnchor="text" w:xAlign="center" w:y="1"/>
              <w:widowControl w:val="0"/>
              <w:keepNext w:val="0"/>
              <w:keepLines w:val="0"/>
              <w:shd w:val="clear" w:color="auto" w:fill="auto"/>
              <w:bidi w:val="0"/>
              <w:spacing w:before="0" w:after="0" w:line="209" w:lineRule="exact"/>
              <w:ind w:left="0" w:right="0" w:firstLine="0"/>
            </w:pPr>
            <w:r>
              <w:rPr>
                <w:rStyle w:val="CharStyle31"/>
              </w:rPr>
              <w:t>По ГОСТ 17537 и п. 4.4 ГОСТ 28196-89</w:t>
            </w:r>
          </w:p>
        </w:tc>
      </w:tr>
      <w:tr>
        <w:trPr>
          <w:trHeight w:val="493" w:hRule="exact"/>
        </w:trPr>
        <w:tc>
          <w:tcPr>
            <w:shd w:val="clear" w:color="auto" w:fill="FFFFFF"/>
            <w:tcBorders>
              <w:left w:val="single" w:sz="4"/>
              <w:top w:val="single" w:sz="4"/>
            </w:tcBorders>
            <w:vAlign w:val="top"/>
          </w:tcPr>
          <w:p>
            <w:pPr>
              <w:pStyle w:val="Style18"/>
              <w:framePr w:w="10087"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7. Морозостойкость краски, циклы, не менее</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right w:val="single" w:sz="4"/>
              <w:top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По п. 4.8</w:t>
            </w:r>
          </w:p>
        </w:tc>
      </w:tr>
      <w:tr>
        <w:trPr>
          <w:trHeight w:val="522" w:hRule="exact"/>
        </w:trPr>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10. Время высыхания до степени 3 при температуре (20±2) °С, ч, не более</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8"/>
              </w:rPr>
              <w:t>1</w:t>
            </w:r>
          </w:p>
        </w:tc>
        <w:tc>
          <w:tcPr>
            <w:shd w:val="clear" w:color="auto" w:fill="FFFFFF"/>
            <w:tcBorders>
              <w:left w:val="single" w:sz="4"/>
              <w:right w:val="single" w:sz="4"/>
              <w:top w:val="single" w:sz="4"/>
              <w:bottom w:val="single" w:sz="4"/>
            </w:tcBorders>
            <w:vAlign w:val="center"/>
          </w:tcPr>
          <w:p>
            <w:pPr>
              <w:pStyle w:val="Style18"/>
              <w:framePr w:w="100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По ГОСТ 19007</w:t>
            </w:r>
          </w:p>
        </w:tc>
      </w:tr>
    </w:tbl>
    <w:p>
      <w:pPr>
        <w:widowControl w:val="0"/>
        <w:rPr>
          <w:sz w:val="2"/>
          <w:szCs w:val="2"/>
        </w:rPr>
      </w:pPr>
    </w:p>
    <w:p>
      <w:pPr>
        <w:pStyle w:val="Style18"/>
        <w:widowControl w:val="0"/>
        <w:keepNext w:val="0"/>
        <w:keepLines w:val="0"/>
        <w:shd w:val="clear" w:color="auto" w:fill="auto"/>
        <w:bidi w:val="0"/>
        <w:spacing w:before="228" w:after="238" w:line="310" w:lineRule="exact"/>
        <w:ind w:left="80" w:right="80" w:firstLine="720"/>
      </w:pPr>
      <w:r>
        <w:rPr>
          <w:lang w:val="ru-RU" w:eastAsia="ru-RU" w:bidi="ru-RU"/>
          <w:w w:val="100"/>
          <w:spacing w:val="0"/>
          <w:color w:val="000000"/>
          <w:position w:val="0"/>
        </w:rPr>
        <w:t>Г) Согласно разделу 2 ГОСТ 11066-74 «Лаки и эмали кремнийорганические термостойкие. Технические условия»:</w:t>
      </w:r>
    </w:p>
    <w:tbl>
      <w:tblPr>
        <w:tblOverlap w:val="never"/>
        <w:tblLayout w:type="fixed"/>
        <w:jc w:val="center"/>
      </w:tblPr>
      <w:tblGrid>
        <w:gridCol w:w="2995"/>
        <w:gridCol w:w="1274"/>
        <w:gridCol w:w="1285"/>
        <w:gridCol w:w="1271"/>
        <w:gridCol w:w="1271"/>
        <w:gridCol w:w="1912"/>
      </w:tblGrid>
      <w:tr>
        <w:trPr>
          <w:trHeight w:val="439" w:hRule="exact"/>
        </w:trPr>
        <w:tc>
          <w:tcPr>
            <w:shd w:val="clear" w:color="auto" w:fill="FFFFFF"/>
            <w:vMerge w:val="restart"/>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Наименование показателя</w:t>
            </w:r>
          </w:p>
        </w:tc>
        <w:tc>
          <w:tcPr>
            <w:shd w:val="clear" w:color="auto" w:fill="FFFFFF"/>
            <w:gridSpan w:val="4"/>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Норма для марки</w:t>
            </w:r>
          </w:p>
        </w:tc>
        <w:tc>
          <w:tcPr>
            <w:shd w:val="clear" w:color="auto" w:fill="FFFFFF"/>
            <w:vMerge w:val="restart"/>
            <w:tcBorders>
              <w:left w:val="single" w:sz="4"/>
              <w:righ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Метод испытания</w:t>
            </w:r>
          </w:p>
        </w:tc>
      </w:tr>
      <w:tr>
        <w:trPr>
          <w:trHeight w:val="623" w:hRule="exact"/>
        </w:trPr>
        <w:tc>
          <w:tcPr>
            <w:shd w:val="clear" w:color="auto" w:fill="FFFFFF"/>
            <w:vMerge/>
            <w:tcBorders>
              <w:left w:val="single" w:sz="4"/>
            </w:tcBorders>
            <w:vAlign w:val="center"/>
          </w:tcPr>
          <w:p>
            <w:pPr>
              <w:framePr w:w="10008" w:wrap="notBeside" w:vAnchor="text" w:hAnchor="text" w:xAlign="center" w:y="1"/>
            </w:pP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spacing w:before="0" w:after="0" w:line="202" w:lineRule="exact"/>
              <w:ind w:left="0" w:right="0" w:firstLine="0"/>
            </w:pPr>
            <w:r>
              <w:rPr>
                <w:rStyle w:val="CharStyle31"/>
              </w:rPr>
              <w:t>К0-815 0КП 23 1133 1500</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КО-85 ОКП 23 1133 0900</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spacing w:before="0" w:after="0" w:line="202" w:lineRule="exact"/>
              <w:ind w:left="0" w:right="0" w:firstLine="0"/>
            </w:pPr>
            <w:r>
              <w:rPr>
                <w:rStyle w:val="CharStyle31"/>
              </w:rPr>
              <w:t>КО-813 ОКП 23 1272 1200</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spacing w:before="0" w:after="0" w:line="205" w:lineRule="exact"/>
              <w:ind w:left="0" w:right="0" w:firstLine="0"/>
            </w:pPr>
            <w:r>
              <w:rPr>
                <w:rStyle w:val="CharStyle31"/>
              </w:rPr>
              <w:t>КО-814 ОКП 23 1272 1300</w:t>
            </w:r>
          </w:p>
        </w:tc>
        <w:tc>
          <w:tcPr>
            <w:shd w:val="clear" w:color="auto" w:fill="FFFFFF"/>
            <w:vMerge/>
            <w:tcBorders>
              <w:left w:val="single" w:sz="4"/>
              <w:right w:val="single" w:sz="4"/>
            </w:tcBorders>
            <w:vAlign w:val="center"/>
          </w:tcPr>
          <w:p>
            <w:pPr>
              <w:framePr w:w="10008" w:wrap="notBeside" w:vAnchor="text" w:hAnchor="text" w:xAlign="center" w:y="1"/>
            </w:pPr>
          </w:p>
        </w:tc>
      </w:tr>
      <w:tr>
        <w:trPr>
          <w:trHeight w:val="626" w:hRule="exact"/>
        </w:trPr>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2. Массовая доля нелетучих веществ, %</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33-37</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15-17</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c>
          <w:tcPr>
            <w:shd w:val="clear" w:color="auto" w:fill="FFFFFF"/>
            <w:tcBorders>
              <w:left w:val="single" w:sz="4"/>
              <w:righ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По ГОСТ 17537 и по п. 4.3 ГОСТ 11066-74</w:t>
            </w:r>
          </w:p>
        </w:tc>
      </w:tr>
      <w:tr>
        <w:trPr>
          <w:trHeight w:val="1030" w:hRule="exact"/>
        </w:trPr>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3. Условная вязкость при 20,0 +/- 0,5 °С: по вискозиметру типа ВЗ-246 (или ВЗ-4) с диаметром сопла 4 мм, с</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10-13</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12-17</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10-14</w:t>
            </w:r>
          </w:p>
        </w:tc>
        <w:tc>
          <w:tcPr>
            <w:shd w:val="clear" w:color="auto" w:fill="FFFFFF"/>
            <w:tcBorders>
              <w:lef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12-18</w:t>
            </w:r>
          </w:p>
        </w:tc>
        <w:tc>
          <w:tcPr>
            <w:shd w:val="clear" w:color="auto" w:fill="FFFFFF"/>
            <w:tcBorders>
              <w:left w:val="single" w:sz="4"/>
              <w:right w:val="single" w:sz="4"/>
              <w:top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По ГОСТ 8420</w:t>
            </w:r>
          </w:p>
        </w:tc>
      </w:tr>
      <w:tr>
        <w:trPr>
          <w:trHeight w:val="850" w:hRule="exact"/>
        </w:trPr>
        <w:tc>
          <w:tcPr>
            <w:shd w:val="clear" w:color="auto" w:fill="FFFFFF"/>
            <w:tcBorders>
              <w:left w:val="single" w:sz="4"/>
              <w:top w:val="single" w:sz="4"/>
              <w:bottom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5. Время высыхания пленки до степени 3, ч, не более: при (20 +/- 5) °С</w:t>
            </w:r>
          </w:p>
        </w:tc>
        <w:tc>
          <w:tcPr>
            <w:shd w:val="clear" w:color="auto" w:fill="FFFFFF"/>
            <w:tcBorders>
              <w:left w:val="single" w:sz="4"/>
              <w:top w:val="single" w:sz="4"/>
              <w:bottom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c>
          <w:tcPr>
            <w:shd w:val="clear" w:color="auto" w:fill="FFFFFF"/>
            <w:tcBorders>
              <w:left w:val="single" w:sz="4"/>
              <w:top w:val="single" w:sz="4"/>
              <w:bottom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3</w:t>
            </w:r>
          </w:p>
        </w:tc>
        <w:tc>
          <w:tcPr>
            <w:shd w:val="clear" w:color="auto" w:fill="FFFFFF"/>
            <w:tcBorders>
              <w:left w:val="single" w:sz="4"/>
              <w:top w:val="single" w:sz="4"/>
              <w:bottom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c>
          <w:tcPr>
            <w:shd w:val="clear" w:color="auto" w:fill="FFFFFF"/>
            <w:tcBorders>
              <w:left w:val="single" w:sz="4"/>
              <w:top w:val="single" w:sz="4"/>
              <w:bottom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w:t>
            </w:r>
          </w:p>
        </w:tc>
        <w:tc>
          <w:tcPr>
            <w:shd w:val="clear" w:color="auto" w:fill="FFFFFF"/>
            <w:tcBorders>
              <w:left w:val="single" w:sz="4"/>
              <w:right w:val="single" w:sz="4"/>
              <w:top w:val="single" w:sz="4"/>
              <w:bottom w:val="single" w:sz="4"/>
            </w:tcBorders>
            <w:vAlign w:val="center"/>
          </w:tcPr>
          <w:p>
            <w:pPr>
              <w:pStyle w:val="Style18"/>
              <w:framePr w:w="10008"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31"/>
              </w:rPr>
              <w:t>По ГОСТ 19007 и п. 4.2 ГОСТ 11066-74</w:t>
            </w:r>
          </w:p>
        </w:tc>
      </w:tr>
    </w:tbl>
    <w:p>
      <w:pPr>
        <w:widowControl w:val="0"/>
        <w:rPr>
          <w:sz w:val="2"/>
          <w:szCs w:val="2"/>
        </w:rPr>
      </w:pPr>
    </w:p>
    <w:p>
      <w:pPr>
        <w:pStyle w:val="Style18"/>
        <w:tabs>
          <w:tab w:leader="none" w:pos="10009" w:val="right"/>
        </w:tabs>
        <w:widowControl w:val="0"/>
        <w:keepNext w:val="0"/>
        <w:keepLines w:val="0"/>
        <w:shd w:val="clear" w:color="auto" w:fill="auto"/>
        <w:bidi w:val="0"/>
        <w:spacing w:before="227" w:after="0" w:line="317" w:lineRule="exact"/>
        <w:ind w:left="80" w:right="80" w:firstLine="720"/>
      </w:pPr>
      <w:r>
        <w:rPr>
          <w:lang w:val="ru-RU" w:eastAsia="ru-RU" w:bidi="ru-RU"/>
          <w:w w:val="100"/>
          <w:spacing w:val="0"/>
          <w:color w:val="000000"/>
          <w:position w:val="0"/>
        </w:rPr>
        <w:t xml:space="preserve">Д) В соответствии с п. 5.4.4 ГОСТ 23166-99 «Блоки оконные. Общие технические условия» Оконные приборы и крепежные детали должны отвечать требованиям ГОСТ 538, </w:t>
      </w:r>
      <w:r>
        <w:rPr>
          <w:rStyle w:val="CharStyle39"/>
        </w:rPr>
        <w:t>НД</w:t>
      </w:r>
      <w:r>
        <w:rPr>
          <w:lang w:val="ru-RU" w:eastAsia="ru-RU" w:bidi="ru-RU"/>
          <w:w w:val="100"/>
          <w:spacing w:val="0"/>
          <w:color w:val="000000"/>
          <w:position w:val="0"/>
        </w:rPr>
        <w:t xml:space="preserve"> </w:t>
      </w:r>
      <w:r>
        <w:rPr>
          <w:rStyle w:val="CharStyle39"/>
        </w:rPr>
        <w:t>на конкретные виды прибор</w:t>
      </w:r>
      <w:r>
        <w:rPr>
          <w:lang w:val="ru-RU" w:eastAsia="ru-RU" w:bidi="ru-RU"/>
          <w:w w:val="100"/>
          <w:spacing w:val="0"/>
          <w:color w:val="000000"/>
          <w:position w:val="0"/>
        </w:rPr>
        <w:t>ов и иметь защитное или защитно-декоративное покрытие по ГОСТ 9.303. Оконные приборы должны отвечать следующим требованиям:</w:t>
        <w:tab/>
        <w:t>сопротивление</w:t>
      </w:r>
    </w:p>
    <w:p>
      <w:pPr>
        <w:pStyle w:val="Style18"/>
        <w:widowControl w:val="0"/>
        <w:keepNext w:val="0"/>
        <w:keepLines w:val="0"/>
        <w:shd w:val="clear" w:color="auto" w:fill="auto"/>
        <w:bidi w:val="0"/>
        <w:spacing w:before="0" w:after="0" w:line="317" w:lineRule="exact"/>
        <w:ind w:left="80" w:right="80" w:firstLine="0"/>
      </w:pPr>
      <w:r>
        <w:rPr>
          <w:lang w:val="ru-RU" w:eastAsia="ru-RU" w:bidi="ru-RU"/>
          <w:w w:val="100"/>
          <w:spacing w:val="0"/>
          <w:color w:val="000000"/>
          <w:position w:val="0"/>
        </w:rPr>
        <w:t>статической нагрузке, действующей на запорные приборы и ручки, - не менее 500 Н; сопротивление крутящему моменту сил, приложенных к ручке, - не менее 25 Н-м; сопротивление нагрузке, приложенной к ограничителю угла открывания в режиме проветривания, - не менее 500 Н; усилие, прикладываемое к створкам при их закрывании до требуемого сжатия уплотняющих прокладок, - не более 120 Н.</w:t>
      </w:r>
    </w:p>
    <w:p>
      <w:pPr>
        <w:pStyle w:val="Style18"/>
        <w:widowControl w:val="0"/>
        <w:keepNext w:val="0"/>
        <w:keepLines w:val="0"/>
        <w:shd w:val="clear" w:color="auto" w:fill="auto"/>
        <w:bidi w:val="0"/>
        <w:spacing w:before="0" w:after="0" w:line="317" w:lineRule="exact"/>
        <w:ind w:left="80" w:right="80" w:firstLine="720"/>
      </w:pPr>
      <w:r>
        <w:rPr>
          <w:lang w:val="ru-RU" w:eastAsia="ru-RU" w:bidi="ru-RU"/>
          <w:w w:val="100"/>
          <w:spacing w:val="0"/>
          <w:color w:val="000000"/>
          <w:position w:val="0"/>
        </w:rPr>
        <w:t>В разделе 7 ГОСТ 23166-99 указаны методы испытаний при входном контроле качества материалов и комплектующих деталей, которые устанавливают в технической документации, исходя из требований нормативной документации на эти материалы и детали, в том числе:</w:t>
      </w:r>
    </w:p>
    <w:p>
      <w:pPr>
        <w:pStyle w:val="Style18"/>
        <w:widowControl w:val="0"/>
        <w:keepNext w:val="0"/>
        <w:keepLines w:val="0"/>
        <w:shd w:val="clear" w:color="auto" w:fill="auto"/>
        <w:bidi w:val="0"/>
        <w:spacing w:before="0" w:after="0" w:line="295" w:lineRule="exact"/>
        <w:ind w:left="80" w:right="80" w:firstLine="720"/>
      </w:pPr>
      <w:r>
        <w:rPr>
          <w:lang w:val="ru-RU" w:eastAsia="ru-RU" w:bidi="ru-RU"/>
          <w:w w:val="100"/>
          <w:spacing w:val="0"/>
          <w:color w:val="000000"/>
          <w:position w:val="0"/>
        </w:rPr>
        <w:t>- п. 7.4.2 ГОСТ 23166-99: Приведенное сопротивление теплопередаче определяют по ГОСТ 26602.1.</w:t>
      </w:r>
    </w:p>
    <w:p>
      <w:pPr>
        <w:pStyle w:val="Style18"/>
        <w:widowControl w:val="0"/>
        <w:keepNext w:val="0"/>
        <w:keepLines w:val="0"/>
        <w:shd w:val="clear" w:color="auto" w:fill="auto"/>
        <w:bidi w:val="0"/>
        <w:spacing w:before="0" w:after="0" w:line="313" w:lineRule="exact"/>
        <w:ind w:left="0" w:right="20" w:firstLine="700"/>
      </w:pPr>
      <w:r>
        <w:rPr>
          <w:lang w:val="ru-RU" w:eastAsia="ru-RU" w:bidi="ru-RU"/>
          <w:w w:val="100"/>
          <w:spacing w:val="0"/>
          <w:color w:val="000000"/>
          <w:position w:val="0"/>
        </w:rPr>
        <w:t>При этом, раздел 4 ГОСТ 26602.1-99 «Блоки оконные и дверные. Методы определения сопротивления теплопередаче» указывает, что лабораторные методы определения сопротивления теплопередаче оконных блоков заключаются в создании постоянного во времени перепада температур по обеим сторонам испытываемого образца, измерении температур воздуха и поверхностей участков образца, а также теплового потока (или тепловой мощности на его создание), проходящего через образец при стационарных условиях испытания, и последующем вычислении значений термического сопротивления и сопротивления теплопередаче.</w:t>
      </w:r>
    </w:p>
    <w:p>
      <w:pPr>
        <w:pStyle w:val="Style18"/>
        <w:numPr>
          <w:ilvl w:val="0"/>
          <w:numId w:val="3"/>
        </w:numPr>
        <w:widowControl w:val="0"/>
        <w:keepNext w:val="0"/>
        <w:keepLines w:val="0"/>
        <w:shd w:val="clear" w:color="auto" w:fill="auto"/>
        <w:bidi w:val="0"/>
        <w:spacing w:before="0" w:after="59" w:line="230" w:lineRule="exact"/>
        <w:ind w:left="0" w:right="0" w:firstLine="700"/>
      </w:pPr>
      <w:r>
        <w:rPr>
          <w:lang w:val="ru-RU" w:eastAsia="ru-RU" w:bidi="ru-RU"/>
          <w:w w:val="100"/>
          <w:spacing w:val="0"/>
          <w:color w:val="000000"/>
          <w:position w:val="0"/>
        </w:rPr>
        <w:t xml:space="preserve"> п. 7.4.7 ГОСТ 23166-99: Сопротивление статическим нагрузкам определяют по ГОСТ</w:t>
      </w:r>
    </w:p>
    <w:p>
      <w:pPr>
        <w:pStyle w:val="Style18"/>
        <w:widowControl w:val="0"/>
        <w:keepNext w:val="0"/>
        <w:keepLines w:val="0"/>
        <w:shd w:val="clear" w:color="auto" w:fill="auto"/>
        <w:bidi w:val="0"/>
        <w:jc w:val="left"/>
        <w:spacing w:before="0" w:after="5" w:line="230" w:lineRule="exact"/>
        <w:ind w:left="0" w:right="0" w:firstLine="0"/>
      </w:pPr>
      <w:r>
        <w:rPr>
          <w:lang w:val="ru-RU" w:eastAsia="ru-RU" w:bidi="ru-RU"/>
          <w:w w:val="100"/>
          <w:spacing w:val="0"/>
          <w:color w:val="000000"/>
          <w:position w:val="0"/>
        </w:rPr>
        <w:t>24033.</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ГОСТ 24033-80 «Окна и балконные двери деревянные. Методы механических испытаний» распространяется на деревянные окна и балконные двери для жилых, общественных, производственных и вспомогательных зданий и помещений и устанавливает методы механических испытаний на надежность; сопротивление статической нагрузке, действующей в плоскости створки; сопротивление статической нагрузке, действующей перпендикулярно плоскости створки; сопротивление статической нагрузке, действующей на запорные приборы и ручки.</w:t>
      </w:r>
    </w:p>
    <w:p>
      <w:pPr>
        <w:pStyle w:val="Style18"/>
        <w:numPr>
          <w:ilvl w:val="0"/>
          <w:numId w:val="3"/>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п. 7.4.9 ГОСТ 23166-99: Показатели долговечности (включая стойкость к климатическим воздействиям и воздействию агрессивных сред), сопротивление ветровым нагрузкам, безотказность оконных приборов, нормируемые нагрузки, прилагаемые к оконным приборам, толщину лакокрасочных покрытий определяют по НД, утвержденной в установленном порядке.</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Проведенные испытания не свидетельствуют о функциональных, технических, качественных и эксплуатационных характеристиках объекта закупки, они используются лишь для определения данных характеристик объекта закупки.</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соответствии с п. 2 ч. 1 ст. 33 Закона Заказчиком к товару установлены требования к товару в соответствии с ГОСТами, значения показателей данного товара не могут отличаться и выходить за пределы, установленные этим государственным стандартом, следовательно, требование к их подробному описанию в составе заявки является избыточным требованием, что также нарушает правило объективного характера описания объекта закупки. ГОСТы содержат однозначно определенные значения величин для всех существенных характеристик товара.</w:t>
      </w:r>
    </w:p>
    <w:p>
      <w:pPr>
        <w:pStyle w:val="Style18"/>
        <w:widowControl w:val="0"/>
        <w:keepNext w:val="0"/>
        <w:keepLines w:val="0"/>
        <w:shd w:val="clear" w:color="auto" w:fill="auto"/>
        <w:bidi w:val="0"/>
        <w:spacing w:before="0" w:after="0" w:line="317" w:lineRule="exact"/>
        <w:ind w:left="0" w:right="20" w:firstLine="840"/>
      </w:pPr>
      <w:r>
        <w:rPr>
          <w:lang w:val="ru-RU" w:eastAsia="ru-RU" w:bidi="ru-RU"/>
          <w:w w:val="100"/>
          <w:spacing w:val="0"/>
          <w:color w:val="000000"/>
          <w:position w:val="0"/>
        </w:rPr>
        <w:t>Сами ГОСТ по разделам четко определяют, что относится к функциональным, техническим, качественным и эксплуатационным характеристиках объекта закупки.</w:t>
      </w:r>
    </w:p>
    <w:p>
      <w:pPr>
        <w:pStyle w:val="Style18"/>
        <w:widowControl w:val="0"/>
        <w:keepNext w:val="0"/>
        <w:keepLines w:val="0"/>
        <w:shd w:val="clear" w:color="auto" w:fill="auto"/>
        <w:bidi w:val="0"/>
        <w:spacing w:before="0" w:after="0" w:line="317" w:lineRule="exact"/>
        <w:ind w:left="0" w:right="20" w:firstLine="840"/>
      </w:pPr>
      <w:r>
        <w:rPr>
          <w:lang w:val="ru-RU" w:eastAsia="ru-RU" w:bidi="ru-RU"/>
          <w:w w:val="100"/>
          <w:spacing w:val="0"/>
          <w:color w:val="000000"/>
          <w:position w:val="0"/>
        </w:rPr>
        <w:t>Результаты испытаний не являются показателями товаров при описании объекта закупки применительно к требованиям статьи 33 Закона, так как не указывают на функциональные, технические, качественные и эксплуатационные характеристики объекта закупки, что является необъективным описанием объекта закупки и свидетельствует о нарушении статьи 33 Закона.</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Кроме того, оспариваемые значения показателей невозможно определить на момент подачи заявки на участие в электронном аукционе, не имея товар в наличии.</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Указанные требования являются излишними, усложняют процесс подготовки заявки на участие в аукционе.</w:t>
      </w:r>
    </w:p>
    <w:p>
      <w:pPr>
        <w:pStyle w:val="Style18"/>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При этом действия Заказчика, связанные с разработкой дополнительных требований к материалам, которые не отражены проектировщиком в проектной документации при отсутствии обоснования предъявления таких требований, являются действиями, направленными на необоснованное ограничение круга участников, запрещенных ст. 8 Закона.</w:t>
      </w:r>
    </w:p>
    <w:p>
      <w:pPr>
        <w:pStyle w:val="Style18"/>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Таким образом, требование об указании в составе первой части заявки показателей, значения которых определяются посредством проведения испытательных процедур, является противоречащим положениям законодательства о контрактной системе в сфере закупок, что следует не только из положений Закона, но и подтверждается в Письме органа, уполномоченного на осуществление контроля в сфере закупок, а также выводами Верховного Суда Российской Федерации.</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Заказчик, устанавливая в документации требования об указании таких показателей, действует не в соответствии со ст. 33 Закона, нарушая принцип объективности описания объекта закупки, создавая ограничения доступа к участию в закупке, что является нарушением</w:t>
      </w:r>
    </w:p>
    <w:p>
      <w:pPr>
        <w:pStyle w:val="Style18"/>
        <w:tabs>
          <w:tab w:leader="none" w:pos="322" w:val="lef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ч.</w:t>
        <w:tab/>
        <w:t>1 ст. 64 Закона.</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Кроме того, в ходе проведения внеплановой проверки установлено, что аналогичные нарушения допущены Заказчиком при формировании требований к п.п. 6-24 Описания объекта закупки.</w:t>
      </w:r>
    </w:p>
    <w:p>
      <w:pPr>
        <w:pStyle w:val="Style18"/>
        <w:widowControl w:val="0"/>
        <w:keepNext w:val="0"/>
        <w:keepLines w:val="0"/>
        <w:shd w:val="clear" w:color="auto" w:fill="auto"/>
        <w:bidi w:val="0"/>
        <w:spacing w:before="0" w:after="303" w:line="317" w:lineRule="exact"/>
        <w:ind w:left="20" w:right="20" w:firstLine="720"/>
      </w:pPr>
      <w:r>
        <w:rPr>
          <w:lang w:val="ru-RU" w:eastAsia="ru-RU" w:bidi="ru-RU"/>
          <w:w w:val="100"/>
          <w:spacing w:val="0"/>
          <w:color w:val="000000"/>
          <w:position w:val="0"/>
        </w:rPr>
        <w:t>По итогам рассмотрения жалоба ООО «Центр поставок Профит» признана Комиссией Ростовского У ФАС России обоснованной. Кроме того, рассматриваемый довод жалобы ООО «НовоСтрой» является обоснованным.</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2.2. 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Согласно ч. 3 ст. 64 Закона документация об электронном аукционе наряду с предусмотренной ч. 1 ст. 64 Закона информацией содержит требования к участникам такого аукциона, установленные в соответствии с ч.ч. 1, 1.1, 2, 2.1 (при наличии таких требований) ст. 31 Закона.</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На основании п. 1 ч. 1 ст. 31 Закона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Предмет рассматриваемой закупки - замена окон и дверей в здании МБУЗ «ЦРБ» Милютинского района.</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В соответствии с п. 14.2 ст. 1 Градостроительного кодекса Российской Федерации (далее - ГрК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В силу ч. 2 ст.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w:t>
      </w:r>
    </w:p>
    <w:p>
      <w:pPr>
        <w:pStyle w:val="Style23"/>
        <w:widowControl w:val="0"/>
        <w:keepNext w:val="0"/>
        <w:keepLines w:val="0"/>
        <w:shd w:val="clear" w:color="auto" w:fill="auto"/>
        <w:bidi w:val="0"/>
        <w:jc w:val="center"/>
        <w:spacing w:before="0" w:after="0" w:line="200" w:lineRule="exact"/>
        <w:ind w:left="0" w:right="0" w:firstLine="0"/>
      </w:pPr>
      <w:r>
        <w:rPr>
          <w:lang w:val="ru-RU" w:eastAsia="ru-RU" w:bidi="ru-RU"/>
          <w:w w:val="100"/>
          <w:spacing w:val="0"/>
          <w:color w:val="000000"/>
          <w:position w:val="0"/>
        </w:rPr>
        <w:t>9</w:t>
      </w:r>
    </w:p>
    <w:p>
      <w:pPr>
        <w:pStyle w:val="Style18"/>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Согласно ч. 3 ст. 55.8 ГрК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pPr>
        <w:pStyle w:val="Style18"/>
        <w:numPr>
          <w:ilvl w:val="0"/>
          <w:numId w:val="9"/>
        </w:numPr>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55.4и55.16ГрК РФ;</w:t>
      </w:r>
    </w:p>
    <w:p>
      <w:pPr>
        <w:pStyle w:val="Style18"/>
        <w:numPr>
          <w:ilvl w:val="0"/>
          <w:numId w:val="9"/>
        </w:numPr>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ГрК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силу п. 2 ч. 5 ст. 66 Закона вторая часть заявки на участие в электронном аукционе должна содержать, в том числе, документы, подтверждающие соответствие участника такого аукциона требованиям, установленным п. 1 ч. 1, ч.ч. 2 и 2.1 ст. 31 (при наличии таких требований) Закона, или копии этих документов, а также декларация о соответствии участника такого аукциона требованиям, установленным п.п. 3 - 9 ч. 1 ст. 31 Закона.</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п. 19 раздела I аукционной документации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(при наличии таких требований) настоящего Федерального закона, или копии этих документов: предоставить выписку (или копию выписки) из реестра членов СРО в области строительства, реконструкции капитального ремонта объектов капитального строительства, по форме, утвержденной Приказом Ростехнадзора от 16.02.2017. Выписка из реестра членов СРО не предоставляется:</w:t>
      </w:r>
    </w:p>
    <w:p>
      <w:pPr>
        <w:pStyle w:val="Style18"/>
        <w:numPr>
          <w:ilvl w:val="0"/>
          <w:numId w:val="3"/>
        </w:numPr>
        <w:widowControl w:val="0"/>
        <w:keepNext w:val="0"/>
        <w:keepLines w:val="0"/>
        <w:shd w:val="clear" w:color="auto" w:fill="auto"/>
        <w:bidi w:val="0"/>
        <w:jc w:val="left"/>
        <w:spacing w:before="0" w:after="0" w:line="317" w:lineRule="exact"/>
        <w:ind w:left="20" w:right="20" w:firstLine="540"/>
      </w:pPr>
      <w:r>
        <w:rPr>
          <w:lang w:val="ru-RU" w:eastAsia="ru-RU" w:bidi="ru-RU"/>
          <w:w w:val="100"/>
          <w:spacing w:val="0"/>
          <w:color w:val="000000"/>
          <w:position w:val="0"/>
        </w:rPr>
        <w:t xml:space="preserve"> участниками, которые предложат цену контракта 3 млн. руб. и менее. Такие участники не обязаны быть членами СРО в силу ч. 2.1 ст. 52 ГрК РФ;</w:t>
      </w:r>
    </w:p>
    <w:p>
      <w:pPr>
        <w:pStyle w:val="Style18"/>
        <w:numPr>
          <w:ilvl w:val="0"/>
          <w:numId w:val="3"/>
        </w:numPr>
        <w:widowControl w:val="0"/>
        <w:keepNext w:val="0"/>
        <w:keepLines w:val="0"/>
        <w:shd w:val="clear" w:color="auto" w:fill="auto"/>
        <w:bidi w:val="0"/>
        <w:jc w:val="left"/>
        <w:spacing w:before="0" w:after="0" w:line="317" w:lineRule="exact"/>
        <w:ind w:left="20" w:right="20" w:firstLine="540"/>
      </w:pPr>
      <w:r>
        <w:rPr>
          <w:lang w:val="ru-RU" w:eastAsia="ru-RU" w:bidi="ru-RU"/>
          <w:w w:val="100"/>
          <w:spacing w:val="0"/>
          <w:color w:val="000000"/>
          <w:position w:val="0"/>
        </w:rPr>
        <w:t xml:space="preserve"> унитарными предприятиями, государственными и муниципальными учреждениям, юрлицами с госучастием в случаях, которые перечислены в ч. 2.2 ст. 52 ГРК РФ.</w:t>
      </w:r>
    </w:p>
    <w:p>
      <w:pPr>
        <w:pStyle w:val="Style18"/>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При рассмотрении дела представитель Заявителя не смог пояснить, согласно чему работы, выступающие в качестве предмета закупки, не относятся к работам по капитальному ремонту, не привел доводов в обоснование позиции, не указал ссылки на положения законодательства РФ, которым не соответствует установленное Заказчиком и оспариваемое ООО «НовоСтрой» требование.</w:t>
      </w:r>
    </w:p>
    <w:p>
      <w:pPr>
        <w:pStyle w:val="Style18"/>
        <w:tabs>
          <w:tab w:leader="none" w:pos="6864" w:val="left"/>
        </w:tabs>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Вместе с тем, Заказчиком в Комиссию Ростовского У ФАС России представлено выданное ГАУ РО «Государственная экспертиза проектной документации и результатов инженерных изысканий» положительное заключение №</w:t>
        <w:tab/>
        <w:t>3-8-1-0213-17 на проверку</w:t>
      </w:r>
    </w:p>
    <w:p>
      <w:pPr>
        <w:pStyle w:val="Style18"/>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достоверности определения сметной стоимости на </w:t>
      </w:r>
      <w:r>
        <w:rPr>
          <w:rStyle w:val="CharStyle39"/>
        </w:rPr>
        <w:t>капитальный ремонт объекта</w:t>
      </w:r>
      <w:r>
        <w:rPr>
          <w:lang w:val="ru-RU" w:eastAsia="ru-RU" w:bidi="ru-RU"/>
          <w:w w:val="100"/>
          <w:spacing w:val="0"/>
          <w:color w:val="000000"/>
          <w:position w:val="0"/>
        </w:rPr>
        <w:t>: «Замена окон и дверей в здании МБУЗ «ЦРБ» Милютинского района, расположенного по адресу: Ростовская область, ст. Милютинская, ул. Гагарина, 24».</w:t>
      </w:r>
    </w:p>
    <w:p>
      <w:pPr>
        <w:pStyle w:val="Style18"/>
        <w:widowControl w:val="0"/>
        <w:keepNext w:val="0"/>
        <w:keepLines w:val="0"/>
        <w:shd w:val="clear" w:color="auto" w:fill="auto"/>
        <w:bidi w:val="0"/>
        <w:spacing w:before="0" w:after="0" w:line="324" w:lineRule="exact"/>
        <w:ind w:left="20" w:right="20" w:firstLine="720"/>
      </w:pPr>
      <w:r>
        <w:rPr>
          <w:lang w:val="ru-RU" w:eastAsia="ru-RU" w:bidi="ru-RU"/>
          <w:w w:val="100"/>
          <w:spacing w:val="0"/>
          <w:color w:val="000000"/>
          <w:position w:val="0"/>
        </w:rPr>
        <w:t>Таким образом, рассматриваемый довод жалобы ООО «НовоСтрой» является необоснованным.</w:t>
      </w:r>
    </w:p>
    <w:p>
      <w:pPr>
        <w:pStyle w:val="Style18"/>
        <w:widowControl w:val="0"/>
        <w:keepNext w:val="0"/>
        <w:keepLines w:val="0"/>
        <w:shd w:val="clear" w:color="auto" w:fill="auto"/>
        <w:bidi w:val="0"/>
        <w:spacing w:before="0" w:after="246" w:line="320" w:lineRule="exact"/>
        <w:ind w:left="20" w:right="20" w:firstLine="720"/>
      </w:pPr>
      <w:r>
        <w:rPr>
          <w:lang w:val="ru-RU" w:eastAsia="ru-RU" w:bidi="ru-RU"/>
          <w:w w:val="100"/>
          <w:spacing w:val="0"/>
          <w:color w:val="000000"/>
          <w:position w:val="0"/>
        </w:rPr>
        <w:t>По итогам рассмотрения жалоба ООО «НовоСтрой» признана Комиссией Ростовского У ФАС России частично обоснованной.</w:t>
      </w:r>
    </w:p>
    <w:p>
      <w:pPr>
        <w:pStyle w:val="Style18"/>
        <w:widowControl w:val="0"/>
        <w:keepNext w:val="0"/>
        <w:keepLines w:val="0"/>
        <w:shd w:val="clear" w:color="auto" w:fill="auto"/>
        <w:bidi w:val="0"/>
        <w:spacing w:before="0" w:after="0" w:line="313" w:lineRule="exact"/>
        <w:ind w:left="20" w:right="20" w:firstLine="540"/>
      </w:pPr>
      <w:r>
        <w:rPr>
          <w:lang w:val="ru-RU" w:eastAsia="ru-RU" w:bidi="ru-RU"/>
          <w:w w:val="100"/>
          <w:spacing w:val="0"/>
          <w:color w:val="000000"/>
          <w:position w:val="0"/>
        </w:rPr>
        <w:t>3.1. 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Закона, на соответствие требованиям, установленным документацией о таком аукционе в отношении закупаемых товаров, работ, услуг.</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18"/>
        <w:numPr>
          <w:ilvl w:val="0"/>
          <w:numId w:val="11"/>
        </w:numPr>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 xml:space="preserve"> непредоставления информации, предусмотренной ч. 3 ст. 66 Закона, или предоставления недостоверной информации;</w:t>
      </w:r>
    </w:p>
    <w:p>
      <w:pPr>
        <w:pStyle w:val="Style18"/>
        <w:numPr>
          <w:ilvl w:val="0"/>
          <w:numId w:val="11"/>
        </w:numPr>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 xml:space="preserve"> несоответствия информации, предусмотренной ч. 3 ст. 66 Закона, требованиям документации о таком аукционе.</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В силу ч. 5 ст. 67 Закона отказ в допуске к участию в электронном аукционе по основаниям, не предусмотренным ч. 4 ст. 67 Закона, не допускается.</w:t>
      </w:r>
    </w:p>
    <w:p>
      <w:pPr>
        <w:pStyle w:val="Style18"/>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18"/>
        <w:tabs>
          <w:tab w:leader="none" w:pos="1089" w:val="left"/>
        </w:tabs>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а)</w:t>
        <w:tab/>
        <w:t>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w:t>
      </w:r>
    </w:p>
    <w:p>
      <w:pPr>
        <w:pStyle w:val="Style40"/>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11</w:t>
      </w:r>
    </w:p>
    <w:p>
      <w:pPr>
        <w:pStyle w:val="Style18"/>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(при наличии), полезные модели (при наличии), промышленные образцы (при наличии), наименование страны происхождения товара;</w:t>
      </w:r>
    </w:p>
    <w:p>
      <w:pPr>
        <w:pStyle w:val="Style18"/>
        <w:tabs>
          <w:tab w:leader="none" w:pos="1053" w:val="left"/>
        </w:tabs>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б)</w:t>
        <w:tab/>
        <w:t>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8"/>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18"/>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В соответствии с протоколом рассмотрения 1 частей заявок на участие в электронном аукционе № 0358300102017000039-1 от 03.11.2017 (далее - Протокол) аукционной комиссией Заказчика принято решение:</w:t>
      </w:r>
    </w:p>
    <w:p>
      <w:pPr>
        <w:pStyle w:val="Style18"/>
        <w:numPr>
          <w:ilvl w:val="0"/>
          <w:numId w:val="3"/>
        </w:numPr>
        <w:widowControl w:val="0"/>
        <w:keepNext w:val="0"/>
        <w:keepLines w:val="0"/>
        <w:shd w:val="clear" w:color="auto" w:fill="auto"/>
        <w:bidi w:val="0"/>
        <w:spacing w:before="0" w:after="0" w:line="317" w:lineRule="exact"/>
        <w:ind w:left="20" w:right="0" w:firstLine="700"/>
      </w:pPr>
      <w:r>
        <w:rPr>
          <w:lang w:val="ru-RU" w:eastAsia="ru-RU" w:bidi="ru-RU"/>
          <w:w w:val="100"/>
          <w:spacing w:val="0"/>
          <w:color w:val="000000"/>
          <w:position w:val="0"/>
        </w:rPr>
        <w:t xml:space="preserve"> допустить к участию в аукционе заявки участников с порядковыми номерами 1, 4, 5;</w:t>
      </w:r>
    </w:p>
    <w:p>
      <w:pPr>
        <w:pStyle w:val="Style18"/>
        <w:numPr>
          <w:ilvl w:val="0"/>
          <w:numId w:val="3"/>
        </w:numPr>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6, 7 (Заявитель).</w:t>
      </w:r>
    </w:p>
    <w:p>
      <w:pPr>
        <w:pStyle w:val="Style18"/>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ООО «Люксстройремонт» в соответствии с информацией, содержащейся в Протоколе, отклонена комиссией Заказчика по следующим основаниям:</w:t>
      </w:r>
    </w:p>
    <w:p>
      <w:pPr>
        <w:pStyle w:val="Style18"/>
        <w:numPr>
          <w:ilvl w:val="0"/>
          <w:numId w:val="13"/>
        </w:numPr>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В соответствии с инструкцией, предлагаемые Участником закупки товары должны соответствовать следующим нормативным документам: П1 ГОСТ 30673, П2 ГОСТ 14918, ПЗ ГОСТ 28013, П4 ГОСТ 28196, П6 ГОСТ 24866, ГОСТ 23166, ГОСТ 30673, П7 ОСТ 24866, ГОСТ 23166, ГОСТ 30673, П9 ОСТ 24866, ГОСТ 23166, ГОСТ 30673, П10 ОСТ 24866, ГОСТ 23166, ГОСТ 30673, П12 ГОСТ 28013, П13 ГОСТ 3826, П14 ГОСТ 530, П17 ГОСТ 8242, П19 ГОСТ 30970, ГОСТ 30673, П20 ГОСТ 30970, ГОСТ 30673, П21 ГОСТ 30970, ГОСТ 30673, П22 ГОСТ 30970, ГОСТ 30673, П23 ГОСТ 30970, ГОСТ 30673, П24 ГОСТ 30970, ГОСТ 30673, П25 ГОСТ Р 56177. Участник не указал соответствие перечисленным ГОСТам, что не позволяет определить качество предлагаемого к использованию товара.</w:t>
      </w:r>
    </w:p>
    <w:p>
      <w:pPr>
        <w:pStyle w:val="Style18"/>
        <w:numPr>
          <w:ilvl w:val="0"/>
          <w:numId w:val="13"/>
        </w:numPr>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В пункте 2, Водоотлив, Участник закупки указал недостоверную информацию: </w:t>
      </w:r>
      <w:r>
        <w:rPr>
          <w:rStyle w:val="CharStyle42"/>
        </w:rPr>
        <w:t>Сталь тонколистовая оцинкованная по назначению ХШ, Категория вытяжки стали нормальная, Временное сопротивление разрыву &gt; 280 Мпа.</w:t>
      </w:r>
      <w:r>
        <w:rPr>
          <w:lang w:val="ru-RU" w:eastAsia="ru-RU" w:bidi="ru-RU"/>
          <w:w w:val="100"/>
          <w:spacing w:val="0"/>
          <w:color w:val="000000"/>
          <w:position w:val="0"/>
        </w:rPr>
        <w:t xml:space="preserve"> Согласно применяемого ГОСТ 14918-80, Таблица 16, временное сопротивление разрыву для стали ХШ категории вытяжки Н составляет 300-490 Мпа. Значение &gt; 280 Мпа, является недостоверным и не соответствующим требованиям ГОСТ 14918-80.</w:t>
      </w:r>
    </w:p>
    <w:p>
      <w:pPr>
        <w:pStyle w:val="Style18"/>
        <w:numPr>
          <w:ilvl w:val="0"/>
          <w:numId w:val="13"/>
        </w:numPr>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В пункте 6, Блок оконный тип 1 до 3 м2, Участник закупки указал недостоверную информацию: </w:t>
      </w:r>
      <w:r>
        <w:rPr>
          <w:rStyle w:val="CharStyle42"/>
        </w:rPr>
        <w:t>Максимально допустимая точка росы внутри стеклопакетов &lt; -40 °С.</w:t>
      </w:r>
      <w:r>
        <w:rPr>
          <w:lang w:val="ru-RU" w:eastAsia="ru-RU" w:bidi="ru-RU"/>
          <w:w w:val="100"/>
          <w:spacing w:val="0"/>
          <w:color w:val="000000"/>
          <w:position w:val="0"/>
        </w:rPr>
        <w:t xml:space="preserve"> Согласно применяемого ГОСТ 24866-2014 5.1.7, точка росы стеклопакетов должна быть не выше минус 45 °С, для стеклопакетов морозостойкого исполнения точка росы должна быть не выше минус 55 °С. Значение &lt; -40 °С, является недостоверным и не соответствующим требованиям ГОСТ 24866-2014 5.1.7.</w:t>
      </w:r>
    </w:p>
    <w:p>
      <w:pPr>
        <w:pStyle w:val="Style18"/>
        <w:numPr>
          <w:ilvl w:val="0"/>
          <w:numId w:val="13"/>
        </w:numPr>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В пункте 13 Сетка проволочная штукатурная тканая, квадрат, Участник закупки не указал Товарный знак, тем самым нарушив требования соответствующего ГОСТ 3826-82. Согласно п. 5.2 ГОСТ 3826-82, указание Товарного знака обязательно.</w:t>
      </w:r>
    </w:p>
    <w:p>
      <w:pPr>
        <w:pStyle w:val="Style18"/>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В ходе рассмотрения жалобы по существу Комиссией Ростовского У ФАС России установлено следующее:</w:t>
      </w:r>
    </w:p>
    <w:p>
      <w:pPr>
        <w:pStyle w:val="Style33"/>
        <w:numPr>
          <w:ilvl w:val="0"/>
          <w:numId w:val="15"/>
        </w:numPr>
        <w:widowControl w:val="0"/>
        <w:keepNext w:val="0"/>
        <w:keepLines w:val="0"/>
        <w:shd w:val="clear" w:color="auto" w:fill="auto"/>
        <w:bidi w:val="0"/>
        <w:spacing w:before="0" w:after="0" w:line="317" w:lineRule="exact"/>
        <w:ind w:left="80" w:right="80" w:firstLine="720"/>
      </w:pPr>
      <w:r>
        <w:rPr>
          <w:rStyle w:val="CharStyle35"/>
          <w:i w:val="0"/>
          <w:iCs w:val="0"/>
        </w:rPr>
        <w:t xml:space="preserve"> Согласно инструкции по заполнению заявки на участие в аукционе, содержащейся в п. 19 раздела I аукционной документации (далее - Инструкция): «</w:t>
      </w:r>
      <w:r>
        <w:rPr>
          <w:lang w:val="ru-RU" w:eastAsia="ru-RU" w:bidi="ru-RU"/>
          <w:w w:val="100"/>
          <w:spacing w:val="0"/>
          <w:color w:val="000000"/>
          <w:position w:val="0"/>
        </w:rPr>
        <w:t>предлагаемые Участником товары должны соответствовать следующим нормативным документам: П1 ГОСТ 30673, П2 ГОСТ 14918, ПЗ ГОСТ 28013, П4 ГОСТ 28196, П6 ГОСТ 24866, ГОСТ 23166, ГОСТ 30673, П7 ОСТ 24866, ГОСТ 23166, ГОСТ 30673, П9 ОСТ 24866, ГОСТ 23166, ГОСТ 30673, П10 ОСТ 24866, ГОСТ 23166, ГОСТ 30673, П12 ГОСТ 28013, П13 ГОСТ 3826, П14 ГОСТ 530, П17 ГОСТ 8242, П19 ГОСТ 30970, ГОСТ 30673, П20 ГОСТ 30970, ГОСТ 30673, П21 ГОСТ 30970, ГОСТ 30673, П22 ГОСТ 30970, ГОСТ 30673, П23 ГОСТ 30970, ГОСТ 30673, П24 ГОСТ 30970, ГОСТ 30673, П25 ГОСТ Р 561</w:t>
      </w:r>
      <w:r>
        <w:rPr>
          <w:rStyle w:val="CharStyle35"/>
          <w:i w:val="0"/>
          <w:iCs w:val="0"/>
        </w:rPr>
        <w:t>77».</w:t>
      </w:r>
    </w:p>
    <w:p>
      <w:pPr>
        <w:pStyle w:val="Style18"/>
        <w:widowControl w:val="0"/>
        <w:keepNext w:val="0"/>
        <w:keepLines w:val="0"/>
        <w:shd w:val="clear" w:color="auto" w:fill="auto"/>
        <w:bidi w:val="0"/>
        <w:spacing w:before="0" w:after="0" w:line="317" w:lineRule="exact"/>
        <w:ind w:left="80" w:right="80" w:firstLine="720"/>
      </w:pPr>
      <w:r>
        <w:rPr>
          <w:lang w:val="ru-RU" w:eastAsia="ru-RU" w:bidi="ru-RU"/>
          <w:w w:val="100"/>
          <w:spacing w:val="0"/>
          <w:color w:val="000000"/>
          <w:position w:val="0"/>
        </w:rPr>
        <w:t xml:space="preserve">В составе заявки участника закупки № 7 указано следующее: «все товары, используемые для выполнения закупаемых работ, будут новыми, не бывшими в употреблении, не из ремонта, </w:t>
      </w:r>
      <w:r>
        <w:rPr>
          <w:rStyle w:val="CharStyle39"/>
        </w:rPr>
        <w:t>будут соответствовать государственным стандартам или иными нормативно-техническим</w:t>
      </w:r>
      <w:r>
        <w:rPr>
          <w:lang w:val="ru-RU" w:eastAsia="ru-RU" w:bidi="ru-RU"/>
          <w:w w:val="100"/>
          <w:spacing w:val="0"/>
          <w:color w:val="000000"/>
          <w:position w:val="0"/>
        </w:rPr>
        <w:t xml:space="preserve"> </w:t>
      </w:r>
      <w:r>
        <w:rPr>
          <w:rStyle w:val="CharStyle39"/>
        </w:rPr>
        <w:t>документам, действующим на территории Российской Федерации в отношении таких товаров</w:t>
      </w:r>
      <w:r>
        <w:rPr>
          <w:lang w:val="ru-RU" w:eastAsia="ru-RU" w:bidi="ru-RU"/>
          <w:w w:val="100"/>
          <w:spacing w:val="0"/>
          <w:color w:val="000000"/>
          <w:position w:val="0"/>
        </w:rPr>
        <w:t>, будут иметь действующие сертификаты соответствия, сертификаты качества, сертификаты пожарной безопасности, технические паспорта, протоколы испытаний, разрешения для использования на территории Российской Федерации (в случае, если нормативными актами установлены требования о наличии данных документов на соответствующий товар)».</w:t>
      </w:r>
    </w:p>
    <w:p>
      <w:pPr>
        <w:pStyle w:val="Style18"/>
        <w:widowControl w:val="0"/>
        <w:keepNext w:val="0"/>
        <w:keepLines w:val="0"/>
        <w:shd w:val="clear" w:color="auto" w:fill="auto"/>
        <w:bidi w:val="0"/>
        <w:spacing w:before="0" w:after="0" w:line="317" w:lineRule="exact"/>
        <w:ind w:left="80" w:right="80" w:firstLine="720"/>
      </w:pPr>
      <w:r>
        <w:rPr>
          <w:lang w:val="ru-RU" w:eastAsia="ru-RU" w:bidi="ru-RU"/>
          <w:w w:val="100"/>
          <w:spacing w:val="0"/>
          <w:color w:val="000000"/>
          <w:position w:val="0"/>
        </w:rPr>
        <w:t>Таким образом, в заявке, поданной Заявителем на участие в аукционе, содержатся сведения о соответствии товара государственным стандартам, ввиду чего действия аукционной комиссии Заказчика при отклонении заявки ООО «Люксстройремонт» нарушают положения законодательства о контрактной системе в сфере закупок.</w:t>
      </w:r>
    </w:p>
    <w:p>
      <w:pPr>
        <w:pStyle w:val="Style18"/>
        <w:numPr>
          <w:ilvl w:val="0"/>
          <w:numId w:val="15"/>
        </w:numPr>
        <w:widowControl w:val="0"/>
        <w:keepNext w:val="0"/>
        <w:keepLines w:val="0"/>
        <w:shd w:val="clear" w:color="auto" w:fill="auto"/>
        <w:bidi w:val="0"/>
        <w:spacing w:before="0" w:after="237" w:line="317" w:lineRule="exact"/>
        <w:ind w:left="80" w:right="80" w:firstLine="720"/>
      </w:pPr>
      <w:r>
        <w:rPr>
          <w:lang w:val="ru-RU" w:eastAsia="ru-RU" w:bidi="ru-RU"/>
          <w:w w:val="100"/>
          <w:spacing w:val="0"/>
          <w:color w:val="000000"/>
          <w:position w:val="0"/>
        </w:rPr>
        <w:t xml:space="preserve"> Согласно Описанию объекта закупки товар «Водоотлив» должен обладать следующими характеристиками:</w:t>
      </w:r>
    </w:p>
    <w:tbl>
      <w:tblPr>
        <w:tblOverlap w:val="never"/>
        <w:tblLayout w:type="fixed"/>
        <w:jc w:val="center"/>
      </w:tblPr>
      <w:tblGrid>
        <w:gridCol w:w="1364"/>
        <w:gridCol w:w="4374"/>
        <w:gridCol w:w="3089"/>
        <w:gridCol w:w="1120"/>
      </w:tblGrid>
      <w:tr>
        <w:trPr>
          <w:trHeight w:val="486" w:hRule="exact"/>
        </w:trPr>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Наименование</w:t>
            </w:r>
          </w:p>
          <w:p>
            <w:pPr>
              <w:pStyle w:val="Style18"/>
              <w:framePr w:w="9947"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товара</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Требуемый параметр</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Требуемое значение</w:t>
            </w:r>
          </w:p>
        </w:tc>
        <w:tc>
          <w:tcPr>
            <w:shd w:val="clear" w:color="auto" w:fill="FFFFFF"/>
            <w:tcBorders>
              <w:left w:val="single" w:sz="4"/>
              <w:righ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Ед. изм.</w:t>
            </w:r>
          </w:p>
        </w:tc>
      </w:tr>
      <w:tr>
        <w:trPr>
          <w:trHeight w:val="270" w:hRule="exact"/>
        </w:trPr>
        <w:tc>
          <w:tcPr>
            <w:shd w:val="clear" w:color="auto" w:fill="FFFFFF"/>
            <w:vMerge w:val="restart"/>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Водоотлив</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Категория вытяжки стали</w:t>
            </w:r>
          </w:p>
        </w:tc>
        <w:tc>
          <w:tcPr>
            <w:shd w:val="clear" w:color="auto" w:fill="FFFFFF"/>
            <w:tcBorders>
              <w:left w:val="single" w:sz="4"/>
              <w:top w:val="single" w:sz="4"/>
            </w:tcBorders>
            <w:vAlign w:val="bottom"/>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нормальная или глубокая</w:t>
            </w:r>
          </w:p>
        </w:tc>
        <w:tc>
          <w:tcPr>
            <w:shd w:val="clear" w:color="auto" w:fill="FFFFFF"/>
            <w:tcBorders>
              <w:left w:val="single" w:sz="4"/>
              <w:right w:val="single" w:sz="4"/>
              <w:top w:val="single" w:sz="4"/>
            </w:tcBorders>
            <w:vAlign w:val="top"/>
          </w:tcPr>
          <w:p>
            <w:pPr>
              <w:framePr w:w="9947" w:wrap="notBeside" w:vAnchor="text" w:hAnchor="text" w:xAlign="center" w:y="1"/>
              <w:widowControl w:val="0"/>
              <w:rPr>
                <w:sz w:val="10"/>
                <w:szCs w:val="10"/>
              </w:rPr>
            </w:pPr>
          </w:p>
        </w:tc>
      </w:tr>
      <w:tr>
        <w:trPr>
          <w:trHeight w:val="331" w:hRule="exact"/>
        </w:trPr>
        <w:tc>
          <w:tcPr>
            <w:shd w:val="clear" w:color="auto" w:fill="FFFFFF"/>
            <w:vMerge/>
            <w:tcBorders>
              <w:left w:val="single" w:sz="4"/>
            </w:tcBorders>
            <w:vAlign w:val="center"/>
          </w:tcPr>
          <w:p>
            <w:pPr>
              <w:framePr w:w="9947" w:wrap="notBeside" w:vAnchor="text" w:hAnchor="text" w:xAlign="center" w:y="1"/>
            </w:pP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Временное сопротивление разрыву</w:t>
            </w:r>
          </w:p>
        </w:tc>
        <w:tc>
          <w:tcPr>
            <w:shd w:val="clear" w:color="auto" w:fill="FFFFFF"/>
            <w:tcBorders>
              <w:lef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&gt;280</w:t>
            </w:r>
          </w:p>
        </w:tc>
        <w:tc>
          <w:tcPr>
            <w:shd w:val="clear" w:color="auto" w:fill="FFFFFF"/>
            <w:tcBorders>
              <w:left w:val="single" w:sz="4"/>
              <w:right w:val="single" w:sz="4"/>
              <w:top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МПа</w:t>
            </w:r>
          </w:p>
        </w:tc>
      </w:tr>
      <w:tr>
        <w:trPr>
          <w:trHeight w:val="410" w:hRule="exact"/>
        </w:trPr>
        <w:tc>
          <w:tcPr>
            <w:shd w:val="clear" w:color="auto" w:fill="FFFFFF"/>
            <w:vMerge/>
            <w:tcBorders>
              <w:left w:val="single" w:sz="4"/>
              <w:bottom w:val="single" w:sz="4"/>
            </w:tcBorders>
            <w:vAlign w:val="center"/>
          </w:tcPr>
          <w:p>
            <w:pPr>
              <w:framePr w:w="9947" w:wrap="notBeside" w:vAnchor="text" w:hAnchor="text" w:xAlign="center" w:y="1"/>
            </w:pPr>
          </w:p>
        </w:tc>
        <w:tc>
          <w:tcPr>
            <w:shd w:val="clear" w:color="auto" w:fill="FFFFFF"/>
            <w:tcBorders>
              <w:left w:val="single" w:sz="4"/>
              <w:top w:val="single" w:sz="4"/>
              <w:bottom w:val="single" w:sz="4"/>
            </w:tcBorders>
            <w:vAlign w:val="center"/>
          </w:tcPr>
          <w:p>
            <w:pPr>
              <w:pStyle w:val="Style18"/>
              <w:framePr w:w="994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Сталь тонколистовая оцинкованная по назначению</w:t>
            </w:r>
          </w:p>
        </w:tc>
        <w:tc>
          <w:tcPr>
            <w:shd w:val="clear" w:color="auto" w:fill="FFFFFF"/>
            <w:tcBorders>
              <w:left w:val="single" w:sz="4"/>
              <w:top w:val="single" w:sz="4"/>
              <w:bottom w:val="single" w:sz="4"/>
            </w:tcBorders>
            <w:vAlign w:val="center"/>
          </w:tcPr>
          <w:p>
            <w:pPr>
              <w:pStyle w:val="Style18"/>
              <w:framePr w:w="99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ХП; ХШ</w:t>
            </w:r>
          </w:p>
        </w:tc>
        <w:tc>
          <w:tcPr>
            <w:shd w:val="clear" w:color="auto" w:fill="FFFFFF"/>
            <w:tcBorders>
              <w:left w:val="single" w:sz="4"/>
              <w:right w:val="single" w:sz="4"/>
              <w:top w:val="single" w:sz="4"/>
              <w:bottom w:val="single" w:sz="4"/>
            </w:tcBorders>
            <w:vAlign w:val="top"/>
          </w:tcPr>
          <w:p>
            <w:pPr>
              <w:framePr w:w="9947" w:wrap="notBeside" w:vAnchor="text" w:hAnchor="text" w:xAlign="center" w:y="1"/>
              <w:widowControl w:val="0"/>
              <w:rPr>
                <w:sz w:val="10"/>
                <w:szCs w:val="10"/>
              </w:rPr>
            </w:pPr>
          </w:p>
        </w:tc>
      </w:tr>
    </w:tbl>
    <w:p>
      <w:pPr>
        <w:widowControl w:val="0"/>
        <w:rPr>
          <w:sz w:val="2"/>
          <w:szCs w:val="2"/>
        </w:rPr>
      </w:pPr>
    </w:p>
    <w:p>
      <w:pPr>
        <w:pStyle w:val="Style18"/>
        <w:widowControl w:val="0"/>
        <w:keepNext w:val="0"/>
        <w:keepLines w:val="0"/>
        <w:shd w:val="clear" w:color="auto" w:fill="auto"/>
        <w:bidi w:val="0"/>
        <w:spacing w:before="223" w:after="237" w:line="313" w:lineRule="exact"/>
        <w:ind w:left="80" w:right="80" w:firstLine="720"/>
      </w:pPr>
      <w:r>
        <w:rPr>
          <w:lang w:val="ru-RU" w:eastAsia="ru-RU" w:bidi="ru-RU"/>
          <w:w w:val="100"/>
          <w:spacing w:val="0"/>
          <w:color w:val="000000"/>
          <w:position w:val="0"/>
        </w:rPr>
        <w:t>Пунктом 3.10 ГОСТ 14918-80 предусмотрено, что механические свойства оцинкованной стали должны соответствовать нормам, указанным в нижеследующей таблице:</w:t>
      </w:r>
    </w:p>
    <w:tbl>
      <w:tblPr>
        <w:tblOverlap w:val="never"/>
        <w:tblLayout w:type="fixed"/>
        <w:jc w:val="center"/>
      </w:tblPr>
      <w:tblGrid>
        <w:gridCol w:w="1030"/>
        <w:gridCol w:w="1253"/>
        <w:gridCol w:w="1829"/>
        <w:gridCol w:w="1253"/>
        <w:gridCol w:w="1181"/>
        <w:gridCol w:w="1166"/>
        <w:gridCol w:w="1177"/>
        <w:gridCol w:w="1184"/>
      </w:tblGrid>
      <w:tr>
        <w:trPr>
          <w:trHeight w:val="634" w:hRule="exact"/>
        </w:trPr>
        <w:tc>
          <w:tcPr>
            <w:shd w:val="clear" w:color="auto" w:fill="FFFFFF"/>
            <w:gridSpan w:val="2"/>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Оцинкованная</w:t>
            </w:r>
          </w:p>
          <w:p>
            <w:pPr>
              <w:pStyle w:val="Style18"/>
              <w:framePr w:w="10073"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сталь</w:t>
            </w:r>
          </w:p>
        </w:tc>
        <w:tc>
          <w:tcPr>
            <w:shd w:val="clear" w:color="auto" w:fill="FFFFFF"/>
            <w:vMerge w:val="restart"/>
            <w:tcBorders>
              <w:left w:val="single" w:sz="4"/>
              <w:top w:val="single" w:sz="4"/>
            </w:tcBorders>
            <w:vAlign w:val="top"/>
          </w:tcPr>
          <w:p>
            <w:pPr>
              <w:pStyle w:val="Style18"/>
              <w:framePr w:w="1007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Временное</w:t>
            </w:r>
          </w:p>
          <w:p>
            <w:pPr>
              <w:pStyle w:val="Style18"/>
              <w:framePr w:w="10073" w:wrap="notBeside" w:vAnchor="text" w:hAnchor="text" w:xAlign="center" w:y="1"/>
              <w:widowControl w:val="0"/>
              <w:keepNext w:val="0"/>
              <w:keepLines w:val="0"/>
              <w:shd w:val="clear" w:color="auto" w:fill="auto"/>
              <w:bidi w:val="0"/>
              <w:jc w:val="center"/>
              <w:spacing w:before="60" w:after="120" w:line="180" w:lineRule="exact"/>
              <w:ind w:left="0" w:right="0" w:firstLine="0"/>
            </w:pPr>
            <w:r>
              <w:rPr>
                <w:rStyle w:val="CharStyle31"/>
              </w:rPr>
              <w:t>сопротивление</w:t>
            </w:r>
          </w:p>
          <w:p>
            <w:pPr>
              <w:pStyle w:val="Style18"/>
              <w:framePr w:w="10073" w:wrap="notBeside" w:vAnchor="text" w:hAnchor="text" w:xAlign="center" w:y="1"/>
              <w:widowControl w:val="0"/>
              <w:keepNext w:val="0"/>
              <w:keepLines w:val="0"/>
              <w:shd w:val="clear" w:color="auto" w:fill="auto"/>
              <w:bidi w:val="0"/>
              <w:jc w:val="center"/>
              <w:spacing w:before="120" w:after="0" w:line="180" w:lineRule="exact"/>
              <w:ind w:left="0" w:right="0" w:firstLine="0"/>
            </w:pPr>
            <w:r>
              <w:rPr>
                <w:rStyle w:val="CharStyle31"/>
              </w:rPr>
              <w:t>разрыву СГ</w:t>
            </w:r>
            <w:r>
              <w:rPr>
                <w:rStyle w:val="CharStyle31"/>
                <w:vertAlign w:val="subscript"/>
              </w:rPr>
              <w:t>в 5</w:t>
            </w:r>
            <w:r>
              <w:rPr>
                <w:rStyle w:val="CharStyle31"/>
              </w:rPr>
              <w:t xml:space="preserve"> МПа</w:t>
            </w:r>
          </w:p>
        </w:tc>
        <w:tc>
          <w:tcPr>
            <w:shd w:val="clear" w:color="auto" w:fill="FFFFFF"/>
            <w:vMerge w:val="restart"/>
            <w:tcBorders>
              <w:left w:val="single" w:sz="4"/>
              <w:top w:val="single" w:sz="4"/>
            </w:tcBorders>
            <w:vAlign w:val="top"/>
          </w:tcPr>
          <w:p>
            <w:pPr>
              <w:pStyle w:val="Style18"/>
              <w:framePr w:w="1007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Предел</w:t>
            </w:r>
          </w:p>
          <w:p>
            <w:pPr>
              <w:pStyle w:val="Style18"/>
              <w:framePr w:w="10073" w:wrap="notBeside" w:vAnchor="text" w:hAnchor="text" w:xAlign="center" w:y="1"/>
              <w:widowControl w:val="0"/>
              <w:keepNext w:val="0"/>
              <w:keepLines w:val="0"/>
              <w:shd w:val="clear" w:color="auto" w:fill="auto"/>
              <w:bidi w:val="0"/>
              <w:jc w:val="center"/>
              <w:spacing w:before="60" w:after="120" w:line="180" w:lineRule="exact"/>
              <w:ind w:left="0" w:right="0" w:firstLine="0"/>
            </w:pPr>
            <w:r>
              <w:rPr>
                <w:rStyle w:val="CharStyle31"/>
              </w:rPr>
              <w:t>текучести</w:t>
            </w:r>
          </w:p>
          <w:p>
            <w:pPr>
              <w:pStyle w:val="Style18"/>
              <w:framePr w:w="10073" w:wrap="notBeside" w:vAnchor="text" w:hAnchor="text" w:xAlign="center" w:y="1"/>
              <w:widowControl w:val="0"/>
              <w:keepNext w:val="0"/>
              <w:keepLines w:val="0"/>
              <w:shd w:val="clear" w:color="auto" w:fill="auto"/>
              <w:bidi w:val="0"/>
              <w:jc w:val="center"/>
              <w:spacing w:before="120" w:after="0" w:line="292" w:lineRule="exact"/>
              <w:ind w:left="0" w:right="0" w:firstLine="0"/>
            </w:pPr>
            <w:r>
              <w:rPr>
                <w:rStyle w:val="CharStyle43"/>
              </w:rPr>
              <w:t>0"</w:t>
            </w:r>
            <w:r>
              <w:rPr>
                <w:rStyle w:val="CharStyle43"/>
                <w:vertAlign w:val="subscript"/>
              </w:rPr>
              <w:t>Т</w:t>
            </w:r>
            <w:r>
              <w:rPr>
                <w:rStyle w:val="CharStyle31"/>
              </w:rPr>
              <w:t xml:space="preserve"> , МПа, не менее</w:t>
            </w:r>
          </w:p>
        </w:tc>
        <w:tc>
          <w:tcPr>
            <w:shd w:val="clear" w:color="auto" w:fill="FFFFFF"/>
            <w:gridSpan w:val="4"/>
            <w:vMerge w:val="restart"/>
            <w:tcBorders>
              <w:left w:val="single" w:sz="4"/>
              <w:righ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284" w:lineRule="exact"/>
              <w:ind w:left="0" w:right="0" w:firstLine="0"/>
            </w:pPr>
            <w:r>
              <w:rPr>
                <w:rStyle w:val="CharStyle31"/>
              </w:rPr>
              <w:t xml:space="preserve">Относительное удлинение </w:t>
            </w:r>
            <w:r>
              <w:rPr>
                <w:rStyle w:val="CharStyle43"/>
              </w:rPr>
              <w:t>,</w:t>
            </w:r>
            <w:r>
              <w:rPr>
                <w:rStyle w:val="CharStyle31"/>
              </w:rPr>
              <w:t xml:space="preserve"> %, не менее, при </w:t>
            </w:r>
            <w:r>
              <w:rPr>
                <w:rStyle w:val="CharStyle31"/>
                <w:lang w:val="en-US" w:eastAsia="en-US" w:bidi="en-US"/>
              </w:rPr>
              <w:t>L</w:t>
            </w:r>
            <w:r>
              <w:rPr>
                <w:rStyle w:val="CharStyle31"/>
                <w:lang w:val="en-US" w:eastAsia="en-US" w:bidi="en-US"/>
                <w:vertAlign w:val="subscript"/>
              </w:rPr>
              <w:t>0</w:t>
            </w:r>
            <w:r>
              <w:rPr>
                <w:rStyle w:val="CharStyle31"/>
                <w:lang w:val="en-US" w:eastAsia="en-US" w:bidi="en-US"/>
              </w:rPr>
              <w:t xml:space="preserve"> </w:t>
            </w:r>
            <w:r>
              <w:rPr>
                <w:rStyle w:val="CharStyle31"/>
              </w:rPr>
              <w:t>= 80 мм для стали толщиной, мм</w:t>
            </w:r>
          </w:p>
        </w:tc>
      </w:tr>
      <w:tr>
        <w:trPr>
          <w:trHeight w:val="464" w:hRule="exact"/>
        </w:trPr>
        <w:tc>
          <w:tcPr>
            <w:shd w:val="clear" w:color="auto" w:fill="FFFFFF"/>
            <w:vMerge w:val="restart"/>
            <w:tcBorders>
              <w:left w:val="single" w:sz="4"/>
              <w:top w:val="single" w:sz="4"/>
            </w:tcBorders>
            <w:vAlign w:val="top"/>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группы</w:t>
            </w:r>
          </w:p>
        </w:tc>
        <w:tc>
          <w:tcPr>
            <w:shd w:val="clear" w:color="auto" w:fill="FFFFFF"/>
            <w:vMerge w:val="restart"/>
            <w:tcBorders>
              <w:left w:val="single" w:sz="4"/>
              <w:top w:val="single" w:sz="4"/>
            </w:tcBorders>
            <w:vAlign w:val="top"/>
          </w:tcPr>
          <w:p>
            <w:pPr>
              <w:pStyle w:val="Style18"/>
              <w:framePr w:w="1007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категории</w:t>
            </w:r>
          </w:p>
          <w:p>
            <w:pPr>
              <w:pStyle w:val="Style18"/>
              <w:framePr w:w="10073"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вытяжки</w:t>
            </w:r>
          </w:p>
        </w:tc>
        <w:tc>
          <w:tcPr>
            <w:shd w:val="clear" w:color="auto" w:fill="FFFFFF"/>
            <w:vMerge/>
            <w:tcBorders>
              <w:left w:val="single" w:sz="4"/>
            </w:tcBorders>
            <w:vAlign w:val="top"/>
          </w:tcPr>
          <w:p>
            <w:pPr>
              <w:framePr w:w="10073" w:wrap="notBeside" w:vAnchor="text" w:hAnchor="text" w:xAlign="center" w:y="1"/>
            </w:pPr>
          </w:p>
        </w:tc>
        <w:tc>
          <w:tcPr>
            <w:shd w:val="clear" w:color="auto" w:fill="FFFFFF"/>
            <w:vMerge/>
            <w:tcBorders>
              <w:left w:val="single" w:sz="4"/>
            </w:tcBorders>
            <w:vAlign w:val="top"/>
          </w:tcPr>
          <w:p>
            <w:pPr>
              <w:framePr w:w="10073" w:wrap="notBeside" w:vAnchor="text" w:hAnchor="text" w:xAlign="center" w:y="1"/>
            </w:pPr>
          </w:p>
        </w:tc>
        <w:tc>
          <w:tcPr>
            <w:shd w:val="clear" w:color="auto" w:fill="FFFFFF"/>
            <w:gridSpan w:val="4"/>
            <w:vMerge/>
            <w:tcBorders>
              <w:left w:val="single" w:sz="4"/>
              <w:right w:val="single" w:sz="4"/>
            </w:tcBorders>
            <w:vAlign w:val="center"/>
          </w:tcPr>
          <w:p>
            <w:pPr>
              <w:framePr w:w="10073" w:wrap="notBeside" w:vAnchor="text" w:hAnchor="text" w:xAlign="center" w:y="1"/>
            </w:pPr>
          </w:p>
        </w:tc>
      </w:tr>
      <w:tr>
        <w:trPr>
          <w:trHeight w:val="623" w:hRule="exact"/>
        </w:trPr>
        <w:tc>
          <w:tcPr>
            <w:shd w:val="clear" w:color="auto" w:fill="FFFFFF"/>
            <w:vMerge/>
            <w:tcBorders>
              <w:left w:val="single" w:sz="4"/>
            </w:tcBorders>
            <w:vAlign w:val="top"/>
          </w:tcPr>
          <w:p>
            <w:pPr>
              <w:framePr w:w="10073" w:wrap="notBeside" w:vAnchor="text" w:hAnchor="text" w:xAlign="center" w:y="1"/>
            </w:pPr>
          </w:p>
        </w:tc>
        <w:tc>
          <w:tcPr>
            <w:shd w:val="clear" w:color="auto" w:fill="FFFFFF"/>
            <w:vMerge/>
            <w:tcBorders>
              <w:left w:val="single" w:sz="4"/>
            </w:tcBorders>
            <w:vAlign w:val="top"/>
          </w:tcPr>
          <w:p>
            <w:pPr>
              <w:framePr w:w="10073" w:wrap="notBeside" w:vAnchor="text" w:hAnchor="text" w:xAlign="center" w:y="1"/>
            </w:pPr>
          </w:p>
        </w:tc>
        <w:tc>
          <w:tcPr>
            <w:shd w:val="clear" w:color="auto" w:fill="FFFFFF"/>
            <w:vMerge/>
            <w:tcBorders>
              <w:left w:val="single" w:sz="4"/>
            </w:tcBorders>
            <w:vAlign w:val="top"/>
          </w:tcPr>
          <w:p>
            <w:pPr>
              <w:framePr w:w="10073" w:wrap="notBeside" w:vAnchor="text" w:hAnchor="text" w:xAlign="center" w:y="1"/>
            </w:pPr>
          </w:p>
        </w:tc>
        <w:tc>
          <w:tcPr>
            <w:shd w:val="clear" w:color="auto" w:fill="FFFFFF"/>
            <w:vMerge/>
            <w:tcBorders>
              <w:left w:val="single" w:sz="4"/>
            </w:tcBorders>
            <w:vAlign w:val="top"/>
          </w:tcPr>
          <w:p>
            <w:pPr>
              <w:framePr w:w="10073" w:wrap="notBeside" w:vAnchor="text" w:hAnchor="text" w:xAlign="center" w:y="1"/>
            </w:pP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до 0,7</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left"/>
              <w:spacing w:before="0" w:after="0" w:line="212" w:lineRule="exact"/>
              <w:ind w:left="360" w:right="0" w:firstLine="0"/>
            </w:pPr>
            <w:r>
              <w:rPr>
                <w:rStyle w:val="CharStyle31"/>
              </w:rPr>
              <w:t>св. 0,7 до 1,5</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left"/>
              <w:spacing w:before="0" w:after="0" w:line="212" w:lineRule="exact"/>
              <w:ind w:left="360" w:right="0" w:firstLine="0"/>
            </w:pPr>
            <w:r>
              <w:rPr>
                <w:rStyle w:val="CharStyle31"/>
              </w:rPr>
              <w:t>св. 1,5 до 2,0</w:t>
            </w:r>
          </w:p>
        </w:tc>
        <w:tc>
          <w:tcPr>
            <w:shd w:val="clear" w:color="auto" w:fill="FFFFFF"/>
            <w:tcBorders>
              <w:left w:val="single" w:sz="4"/>
              <w:righ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св. 2,0</w:t>
            </w:r>
          </w:p>
        </w:tc>
      </w:tr>
      <w:tr>
        <w:trPr>
          <w:trHeight w:val="425" w:hRule="exact"/>
        </w:trPr>
        <w:tc>
          <w:tcPr>
            <w:shd w:val="clear" w:color="auto" w:fill="FFFFFF"/>
            <w:vMerge w:val="restart"/>
            <w:tcBorders>
              <w:left w:val="single" w:sz="4"/>
              <w:top w:val="single" w:sz="4"/>
            </w:tcBorders>
            <w:vAlign w:val="top"/>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ХШ</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300 - 490</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21</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22</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23</w:t>
            </w:r>
          </w:p>
        </w:tc>
        <w:tc>
          <w:tcPr>
            <w:shd w:val="clear" w:color="auto" w:fill="FFFFFF"/>
            <w:tcBorders>
              <w:left w:val="single" w:sz="4"/>
              <w:righ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24</w:t>
            </w:r>
          </w:p>
        </w:tc>
      </w:tr>
      <w:tr>
        <w:trPr>
          <w:trHeight w:val="418" w:hRule="exact"/>
        </w:trPr>
        <w:tc>
          <w:tcPr>
            <w:shd w:val="clear" w:color="auto" w:fill="FFFFFF"/>
            <w:vMerge/>
            <w:tcBorders>
              <w:left w:val="single" w:sz="4"/>
            </w:tcBorders>
            <w:vAlign w:val="top"/>
          </w:tcPr>
          <w:p>
            <w:pPr>
              <w:framePr w:w="10073" w:wrap="notBeside" w:vAnchor="text" w:hAnchor="text" w:xAlign="center" w:y="1"/>
            </w:pP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Г</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275 - 430</w:t>
            </w:r>
          </w:p>
        </w:tc>
        <w:tc>
          <w:tcPr>
            <w:shd w:val="clear" w:color="auto" w:fill="FFFFFF"/>
            <w:tcBorders>
              <w:left w:val="single" w:sz="4"/>
              <w:top w:val="single" w:sz="4"/>
            </w:tcBorders>
            <w:vAlign w:val="top"/>
          </w:tcPr>
          <w:p>
            <w:pPr>
              <w:framePr w:w="1007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23</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24</w:t>
            </w:r>
          </w:p>
        </w:tc>
        <w:tc>
          <w:tcPr>
            <w:shd w:val="clear" w:color="auto" w:fill="FFFFFF"/>
            <w:tcBorders>
              <w:lef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25</w:t>
            </w:r>
          </w:p>
        </w:tc>
        <w:tc>
          <w:tcPr>
            <w:shd w:val="clear" w:color="auto" w:fill="FFFFFF"/>
            <w:tcBorders>
              <w:left w:val="single" w:sz="4"/>
              <w:right w:val="single" w:sz="4"/>
              <w:top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26</w:t>
            </w:r>
          </w:p>
        </w:tc>
      </w:tr>
      <w:tr>
        <w:trPr>
          <w:trHeight w:val="436" w:hRule="exact"/>
        </w:trPr>
        <w:tc>
          <w:tcPr>
            <w:shd w:val="clear" w:color="auto" w:fill="FFFFFF"/>
            <w:vMerge/>
            <w:tcBorders>
              <w:left w:val="single" w:sz="4"/>
              <w:bottom w:val="single" w:sz="4"/>
            </w:tcBorders>
            <w:vAlign w:val="top"/>
          </w:tcPr>
          <w:p>
            <w:pPr>
              <w:framePr w:w="10073" w:wrap="notBeside" w:vAnchor="text" w:hAnchor="text" w:xAlign="center" w:y="1"/>
            </w:pPr>
          </w:p>
        </w:tc>
        <w:tc>
          <w:tcPr>
            <w:shd w:val="clear" w:color="auto" w:fill="FFFFFF"/>
            <w:tcBorders>
              <w:lef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ВТ</w:t>
            </w:r>
          </w:p>
        </w:tc>
        <w:tc>
          <w:tcPr>
            <w:shd w:val="clear" w:color="auto" w:fill="FFFFFF"/>
            <w:tcBorders>
              <w:lef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255 -410</w:t>
            </w:r>
          </w:p>
        </w:tc>
        <w:tc>
          <w:tcPr>
            <w:shd w:val="clear" w:color="auto" w:fill="FFFFFF"/>
            <w:tcBorders>
              <w:lef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w:t>
            </w:r>
          </w:p>
        </w:tc>
        <w:tc>
          <w:tcPr>
            <w:shd w:val="clear" w:color="auto" w:fill="FFFFFF"/>
            <w:tcBorders>
              <w:lef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26</w:t>
            </w:r>
          </w:p>
        </w:tc>
        <w:tc>
          <w:tcPr>
            <w:shd w:val="clear" w:color="auto" w:fill="FFFFFF"/>
            <w:tcBorders>
              <w:lef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28</w:t>
            </w:r>
          </w:p>
        </w:tc>
        <w:tc>
          <w:tcPr>
            <w:shd w:val="clear" w:color="auto" w:fill="FFFFFF"/>
            <w:tcBorders>
              <w:lef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29</w:t>
            </w:r>
          </w:p>
        </w:tc>
        <w:tc>
          <w:tcPr>
            <w:shd w:val="clear" w:color="auto" w:fill="FFFFFF"/>
            <w:tcBorders>
              <w:left w:val="single" w:sz="4"/>
              <w:right w:val="single" w:sz="4"/>
              <w:top w:val="single" w:sz="4"/>
              <w:bottom w:val="single" w:sz="4"/>
            </w:tcBorders>
            <w:vAlign w:val="center"/>
          </w:tcPr>
          <w:p>
            <w:pPr>
              <w:pStyle w:val="Style18"/>
              <w:framePr w:w="100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30</w:t>
            </w:r>
          </w:p>
        </w:tc>
      </w:tr>
    </w:tbl>
    <w:p>
      <w:pPr>
        <w:widowControl w:val="0"/>
        <w:rPr>
          <w:sz w:val="2"/>
          <w:szCs w:val="2"/>
        </w:rPr>
      </w:pPr>
    </w:p>
    <w:p>
      <w:pPr>
        <w:pStyle w:val="Style18"/>
        <w:widowControl w:val="0"/>
        <w:keepNext w:val="0"/>
        <w:keepLines w:val="0"/>
        <w:shd w:val="clear" w:color="auto" w:fill="auto"/>
        <w:bidi w:val="0"/>
        <w:spacing w:before="231" w:after="0" w:line="317" w:lineRule="exact"/>
        <w:ind w:left="80" w:right="80" w:firstLine="720"/>
      </w:pPr>
      <w:r>
        <w:rPr>
          <w:lang w:val="ru-RU" w:eastAsia="ru-RU" w:bidi="ru-RU"/>
          <w:w w:val="100"/>
          <w:spacing w:val="0"/>
          <w:color w:val="000000"/>
          <w:position w:val="0"/>
        </w:rPr>
        <w:t xml:space="preserve">При этом, в соответствии с п. 4.2 ГОСТ 14918-80 в документе о качестве результаты испытаний и данные химического состава указываются </w:t>
      </w:r>
      <w:r>
        <w:rPr>
          <w:rStyle w:val="CharStyle39"/>
        </w:rPr>
        <w:t>по требованию потребителя</w:t>
      </w:r>
      <w:r>
        <w:rPr>
          <w:lang w:val="ru-RU" w:eastAsia="ru-RU" w:bidi="ru-RU"/>
          <w:w w:val="100"/>
          <w:spacing w:val="0"/>
          <w:color w:val="000000"/>
          <w:position w:val="0"/>
        </w:rPr>
        <w:t>.</w:t>
      </w:r>
    </w:p>
    <w:p>
      <w:pPr>
        <w:pStyle w:val="Style33"/>
        <w:widowControl w:val="0"/>
        <w:keepNext w:val="0"/>
        <w:keepLines w:val="0"/>
        <w:shd w:val="clear" w:color="auto" w:fill="auto"/>
        <w:bidi w:val="0"/>
        <w:spacing w:before="0" w:after="0" w:line="317" w:lineRule="exact"/>
        <w:ind w:left="40" w:right="20"/>
      </w:pPr>
      <w:r>
        <w:rPr>
          <w:rStyle w:val="CharStyle35"/>
          <w:i w:val="0"/>
          <w:iCs w:val="0"/>
        </w:rPr>
        <w:t xml:space="preserve">В соответствии с Инструкцией: </w:t>
      </w:r>
      <w:r>
        <w:rPr>
          <w:lang w:val="ru-RU" w:eastAsia="ru-RU" w:bidi="ru-RU"/>
          <w:w w:val="100"/>
          <w:spacing w:val="0"/>
          <w:color w:val="000000"/>
          <w:position w:val="0"/>
        </w:rPr>
        <w:t>«В случае отсутствия в нормативной документации значений по требуемым параметрам каких-либо из закупаемых товаров или применяемых при производстве работ, оказании услуг, поставки товаров, то по данным параметрам в графе «Значение, предлагаемое участником» допускается указывать «не нормируется», либо указать «отсутствует</w:t>
      </w:r>
      <w:r>
        <w:rPr>
          <w:rStyle w:val="CharStyle35"/>
          <w:i w:val="0"/>
          <w:iCs w:val="0"/>
        </w:rPr>
        <w:t>».</w:t>
      </w:r>
    </w:p>
    <w:p>
      <w:pPr>
        <w:pStyle w:val="Style18"/>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При этом, в соответствии с положениями ГОСТ 14918-80 характеристики показателей, определяющихся по результатам испытаний, указываются лишь по требованию потребителя, ввиду чего, даже имея товар в наличии, участник закупки имеет возможность не установить соответствие товара установленному документацией показателю, что прямо противоречит принципам объективности установления требований.</w:t>
      </w:r>
    </w:p>
    <w:p>
      <w:pPr>
        <w:pStyle w:val="Style18"/>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Таким образом, при отказе в допуске к участию в аукционе комиссия Заказчика действовала не в соответствии с положениями Закона.</w:t>
      </w:r>
    </w:p>
    <w:p>
      <w:pPr>
        <w:pStyle w:val="Style18"/>
        <w:numPr>
          <w:ilvl w:val="0"/>
          <w:numId w:val="15"/>
        </w:numPr>
        <w:tabs>
          <w:tab w:leader="none" w:pos="1069" w:val="left"/>
        </w:tabs>
        <w:widowControl w:val="0"/>
        <w:keepNext w:val="0"/>
        <w:keepLines w:val="0"/>
        <w:shd w:val="clear" w:color="auto" w:fill="auto"/>
        <w:bidi w:val="0"/>
        <w:spacing w:before="0" w:after="297" w:line="317" w:lineRule="exact"/>
        <w:ind w:left="40" w:right="20" w:firstLine="700"/>
      </w:pPr>
      <w:r>
        <w:rPr>
          <w:lang w:val="ru-RU" w:eastAsia="ru-RU" w:bidi="ru-RU"/>
          <w:w w:val="100"/>
          <w:spacing w:val="0"/>
          <w:color w:val="000000"/>
          <w:position w:val="0"/>
        </w:rPr>
        <w:t>В соответствии с п. 6 Описания объекта закупки Заказчику для выполнения работ, выступающих в качестве объекта закупки, необходим, в том числе, товар со следующими характеристиками:</w:t>
      </w:r>
    </w:p>
    <w:tbl>
      <w:tblPr>
        <w:tblOverlap w:val="never"/>
        <w:tblLayout w:type="fixed"/>
        <w:jc w:val="center"/>
      </w:tblPr>
      <w:tblGrid>
        <w:gridCol w:w="1562"/>
        <w:gridCol w:w="5652"/>
        <w:gridCol w:w="1703"/>
        <w:gridCol w:w="1004"/>
      </w:tblGrid>
      <w:tr>
        <w:trPr>
          <w:trHeight w:val="482" w:hRule="exact"/>
        </w:trPr>
        <w:tc>
          <w:tcPr>
            <w:shd w:val="clear" w:color="auto" w:fill="FFFFFF"/>
            <w:tcBorders>
              <w:left w:val="single" w:sz="4"/>
              <w:top w:val="single" w:sz="4"/>
            </w:tcBorders>
            <w:vAlign w:val="top"/>
          </w:tcPr>
          <w:p>
            <w:pPr>
              <w:pStyle w:val="Style18"/>
              <w:framePr w:w="992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Наименование</w:t>
            </w:r>
          </w:p>
          <w:p>
            <w:pPr>
              <w:pStyle w:val="Style18"/>
              <w:framePr w:w="992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товара</w:t>
            </w:r>
          </w:p>
        </w:tc>
        <w:tc>
          <w:tcPr>
            <w:shd w:val="clear" w:color="auto" w:fill="FFFFFF"/>
            <w:tcBorders>
              <w:left w:val="single" w:sz="4"/>
              <w:top w:val="single" w:sz="4"/>
            </w:tcBorders>
            <w:vAlign w:val="center"/>
          </w:tcPr>
          <w:p>
            <w:pPr>
              <w:pStyle w:val="Style18"/>
              <w:framePr w:w="99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Требуемый параметр</w:t>
            </w:r>
          </w:p>
        </w:tc>
        <w:tc>
          <w:tcPr>
            <w:shd w:val="clear" w:color="auto" w:fill="FFFFFF"/>
            <w:tcBorders>
              <w:left w:val="single" w:sz="4"/>
              <w:top w:val="single" w:sz="4"/>
            </w:tcBorders>
            <w:vAlign w:val="top"/>
          </w:tcPr>
          <w:p>
            <w:pPr>
              <w:pStyle w:val="Style18"/>
              <w:framePr w:w="992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Требуемое</w:t>
            </w:r>
          </w:p>
          <w:p>
            <w:pPr>
              <w:pStyle w:val="Style18"/>
              <w:framePr w:w="992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31"/>
              </w:rPr>
              <w:t>значение</w:t>
            </w:r>
          </w:p>
        </w:tc>
        <w:tc>
          <w:tcPr>
            <w:shd w:val="clear" w:color="auto" w:fill="FFFFFF"/>
            <w:tcBorders>
              <w:left w:val="single" w:sz="4"/>
              <w:right w:val="single" w:sz="4"/>
              <w:top w:val="single" w:sz="4"/>
            </w:tcBorders>
            <w:vAlign w:val="center"/>
          </w:tcPr>
          <w:p>
            <w:pPr>
              <w:pStyle w:val="Style18"/>
              <w:framePr w:w="99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Ед. изм.</w:t>
            </w:r>
          </w:p>
        </w:tc>
      </w:tr>
      <w:tr>
        <w:trPr>
          <w:trHeight w:val="497" w:hRule="exact"/>
        </w:trPr>
        <w:tc>
          <w:tcPr>
            <w:shd w:val="clear" w:color="auto" w:fill="FFFFFF"/>
            <w:tcBorders>
              <w:left w:val="single" w:sz="4"/>
              <w:top w:val="single" w:sz="4"/>
              <w:bottom w:val="single" w:sz="4"/>
            </w:tcBorders>
            <w:vAlign w:val="top"/>
          </w:tcPr>
          <w:p>
            <w:pPr>
              <w:pStyle w:val="Style18"/>
              <w:framePr w:w="9922" w:wrap="notBeside" w:vAnchor="text" w:hAnchor="text" w:xAlign="center" w:y="1"/>
              <w:widowControl w:val="0"/>
              <w:keepNext w:val="0"/>
              <w:keepLines w:val="0"/>
              <w:shd w:val="clear" w:color="auto" w:fill="auto"/>
              <w:bidi w:val="0"/>
              <w:jc w:val="left"/>
              <w:spacing w:before="0" w:after="0" w:line="245" w:lineRule="exact"/>
              <w:ind w:left="240" w:right="0" w:firstLine="0"/>
            </w:pPr>
            <w:r>
              <w:rPr>
                <w:rStyle w:val="CharStyle31"/>
              </w:rPr>
              <w:t>Блок оконный тип 1 до 3 м2</w:t>
            </w:r>
          </w:p>
        </w:tc>
        <w:tc>
          <w:tcPr>
            <w:shd w:val="clear" w:color="auto" w:fill="FFFFFF"/>
            <w:tcBorders>
              <w:left w:val="single" w:sz="4"/>
              <w:top w:val="single" w:sz="4"/>
              <w:bottom w:val="single" w:sz="4"/>
            </w:tcBorders>
            <w:vAlign w:val="center"/>
          </w:tcPr>
          <w:p>
            <w:pPr>
              <w:pStyle w:val="Style18"/>
              <w:framePr w:w="99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Максимально допустимая точка росы внутри стеклопакетов</w:t>
            </w:r>
          </w:p>
        </w:tc>
        <w:tc>
          <w:tcPr>
            <w:shd w:val="clear" w:color="auto" w:fill="FFFFFF"/>
            <w:tcBorders>
              <w:left w:val="single" w:sz="4"/>
              <w:top w:val="single" w:sz="4"/>
              <w:bottom w:val="single" w:sz="4"/>
            </w:tcBorders>
            <w:vAlign w:val="center"/>
          </w:tcPr>
          <w:p>
            <w:pPr>
              <w:pStyle w:val="Style18"/>
              <w:framePr w:w="99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&lt;-40</w:t>
            </w:r>
          </w:p>
        </w:tc>
        <w:tc>
          <w:tcPr>
            <w:shd w:val="clear" w:color="auto" w:fill="FFFFFF"/>
            <w:tcBorders>
              <w:left w:val="single" w:sz="4"/>
              <w:right w:val="single" w:sz="4"/>
              <w:top w:val="single" w:sz="4"/>
              <w:bottom w:val="single" w:sz="4"/>
            </w:tcBorders>
            <w:vAlign w:val="center"/>
          </w:tcPr>
          <w:p>
            <w:pPr>
              <w:pStyle w:val="Style18"/>
              <w:framePr w:w="99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°С</w:t>
            </w:r>
          </w:p>
        </w:tc>
      </w:tr>
    </w:tbl>
    <w:p>
      <w:pPr>
        <w:widowControl w:val="0"/>
        <w:rPr>
          <w:sz w:val="2"/>
          <w:szCs w:val="2"/>
        </w:rPr>
      </w:pPr>
    </w:p>
    <w:p>
      <w:pPr>
        <w:pStyle w:val="Style33"/>
        <w:widowControl w:val="0"/>
        <w:keepNext w:val="0"/>
        <w:keepLines w:val="0"/>
        <w:shd w:val="clear" w:color="auto" w:fill="auto"/>
        <w:bidi w:val="0"/>
        <w:spacing w:before="276" w:after="0" w:line="317" w:lineRule="exact"/>
        <w:ind w:left="40" w:right="20"/>
      </w:pPr>
      <w:r>
        <w:rPr>
          <w:rStyle w:val="CharStyle35"/>
          <w:i w:val="0"/>
          <w:iCs w:val="0"/>
        </w:rPr>
        <w:t>Инструкцией предусмотрено: «</w:t>
      </w:r>
      <w:r>
        <w:rPr>
          <w:lang w:val="ru-RU" w:eastAsia="ru-RU" w:bidi="ru-RU"/>
          <w:w w:val="100"/>
          <w:spacing w:val="0"/>
          <w:color w:val="000000"/>
          <w:position w:val="0"/>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Style w:val="CharStyle35"/>
          <w:i w:val="0"/>
          <w:iCs w:val="0"/>
        </w:rPr>
        <w:t xml:space="preserve">» </w:t>
      </w:r>
      <w:r>
        <w:rPr>
          <w:lang w:val="ru-RU" w:eastAsia="ru-RU" w:bidi="ru-RU"/>
          <w:w w:val="100"/>
          <w:spacing w:val="0"/>
          <w:color w:val="000000"/>
          <w:position w:val="0"/>
        </w:rPr>
        <w:t>(далее</w:t>
      </w:r>
      <w:r>
        <w:rPr>
          <w:rStyle w:val="CharStyle35"/>
          <w:i w:val="0"/>
          <w:iCs w:val="0"/>
        </w:rPr>
        <w:t xml:space="preserve"> - </w:t>
      </w:r>
      <w:r>
        <w:rPr>
          <w:lang w:val="ru-RU" w:eastAsia="ru-RU" w:bidi="ru-RU"/>
          <w:w w:val="100"/>
          <w:spacing w:val="0"/>
          <w:color w:val="000000"/>
          <w:position w:val="0"/>
        </w:rPr>
        <w:t>Сведения о товаре) долэ/сны соответствовать государственным стандартам и содерэюать значения параметров товара в соответствии, с которыми заказчик осуществляет приемку товара при выполнении работ, оказании услуг».</w:t>
      </w:r>
    </w:p>
    <w:p>
      <w:pPr>
        <w:pStyle w:val="Style18"/>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Согласно п. 5.1.7 ГОСТ 24866-2014 «Стеклопакеты клееные. Технические условия» точка росы стеклопакетов должна быть не выше минус 45 °С. Для стеклопакетов морозостойкого исполнения точка росы должна быть не выше минус 55 °С.</w:t>
      </w:r>
    </w:p>
    <w:p>
      <w:pPr>
        <w:pStyle w:val="Style18"/>
        <w:widowControl w:val="0"/>
        <w:keepNext w:val="0"/>
        <w:keepLines w:val="0"/>
        <w:shd w:val="clear" w:color="auto" w:fill="auto"/>
        <w:bidi w:val="0"/>
        <w:spacing w:before="0" w:after="0" w:line="317" w:lineRule="exact"/>
        <w:ind w:left="40" w:right="20" w:firstLine="700"/>
      </w:pPr>
      <w:r>
        <w:rPr>
          <w:lang w:val="ru-RU" w:eastAsia="ru-RU" w:bidi="ru-RU"/>
          <w:w w:val="100"/>
          <w:spacing w:val="0"/>
          <w:color w:val="000000"/>
          <w:position w:val="0"/>
        </w:rPr>
        <w:t>При этом, в силу п. 7.11 ГОСТ 24866-2014 определение точки росы основано на охлаждении участка стеклопакета и последующей проверке появления конденсата (инея) на внутренней поверхности стекла на этом участке. Точку росы контролируют, используя микрохолодильник, обеспечивающий заданный температурный режим испытаний, или прибор для контроля точки росы. Для проведения испытаний с помощью прибора для контроля точки росы необходимы: термометр стеклянный по ГОСТ 28498 с погрешностью измерения не более 2 °С или другой прибор измерения температуры с соответствующей настоящему стандарту погрешностью измерения, при условии, что он выдерживает воздействие агрессивных сред (ацетон); двуокись углерода твердая по ГОСТ 12162 или сжиженный углекислый газ по нормативным документам; спирт изопропиловый по ГОСТ 9805; ацетон технический по ГОСТ 2768; секундомер по нормативным документам; фонарь карманный или другой источник света напряжением не более 12 В. Стеклопакет считают выдержавшим испытание, если на поверхности охлаждаемого участка внутри камеры стеклопакета не были обнаружены следы конденсата (инея).</w:t>
      </w:r>
    </w:p>
    <w:p>
      <w:pPr>
        <w:pStyle w:val="Style18"/>
        <w:widowControl w:val="0"/>
        <w:keepNext w:val="0"/>
        <w:keepLines w:val="0"/>
        <w:shd w:val="clear" w:color="auto" w:fill="auto"/>
        <w:bidi w:val="0"/>
        <w:spacing w:before="0" w:after="0" w:line="317" w:lineRule="exact"/>
        <w:ind w:left="120" w:right="20" w:firstLine="720"/>
      </w:pPr>
      <w:r>
        <w:rPr>
          <w:lang w:val="ru-RU" w:eastAsia="ru-RU" w:bidi="ru-RU"/>
          <w:w w:val="100"/>
          <w:spacing w:val="0"/>
          <w:color w:val="000000"/>
          <w:position w:val="0"/>
        </w:rPr>
        <w:t>Таким образом, определение точки росы стеклопакета возможно только при проведении испытания партии товара.</w:t>
      </w:r>
    </w:p>
    <w:p>
      <w:pPr>
        <w:pStyle w:val="Style18"/>
        <w:widowControl w:val="0"/>
        <w:keepNext w:val="0"/>
        <w:keepLines w:val="0"/>
        <w:shd w:val="clear" w:color="auto" w:fill="auto"/>
        <w:bidi w:val="0"/>
        <w:spacing w:before="0" w:after="0" w:line="317" w:lineRule="exact"/>
        <w:ind w:left="120" w:right="20" w:firstLine="720"/>
      </w:pPr>
      <w:r>
        <w:rPr>
          <w:lang w:val="ru-RU" w:eastAsia="ru-RU" w:bidi="ru-RU"/>
          <w:w w:val="100"/>
          <w:spacing w:val="0"/>
          <w:color w:val="000000"/>
          <w:position w:val="0"/>
        </w:rPr>
        <w:t>Вместе с тем, в составе заявки на участие в аукционе Заявителем 3 указано: «Максимально допустимая точка росы внутри стеклопакетов - &lt;-40 °С».</w:t>
      </w:r>
    </w:p>
    <w:p>
      <w:pPr>
        <w:pStyle w:val="Style18"/>
        <w:widowControl w:val="0"/>
        <w:keepNext w:val="0"/>
        <w:keepLines w:val="0"/>
        <w:shd w:val="clear" w:color="auto" w:fill="auto"/>
        <w:bidi w:val="0"/>
        <w:jc w:val="left"/>
        <w:spacing w:before="0" w:after="0" w:line="317" w:lineRule="exact"/>
        <w:ind w:left="0" w:right="20" w:firstLine="720"/>
      </w:pPr>
      <w:r>
        <w:rPr>
          <w:lang w:val="ru-RU" w:eastAsia="ru-RU" w:bidi="ru-RU"/>
          <w:w w:val="100"/>
          <w:spacing w:val="0"/>
          <w:color w:val="000000"/>
          <w:position w:val="0"/>
        </w:rPr>
        <w:t>Указанные в заявке сведения не противоречат требованиям ГОСТ 24866-2014. При этом, конкретное значение показателя по оспариваемому требованию невозможно определить, не имея товар в наличии, а также без проведения испытаний товара с использованием • специального оборудования.</w:t>
      </w:r>
    </w:p>
    <w:p>
      <w:pPr>
        <w:pStyle w:val="Style18"/>
        <w:widowControl w:val="0"/>
        <w:keepNext w:val="0"/>
        <w:keepLines w:val="0"/>
        <w:shd w:val="clear" w:color="auto" w:fill="auto"/>
        <w:bidi w:val="0"/>
        <w:spacing w:before="0" w:after="0" w:line="317" w:lineRule="exact"/>
        <w:ind w:left="120" w:right="20" w:firstLine="720"/>
      </w:pPr>
      <w:r>
        <w:rPr>
          <w:lang w:val="ru-RU" w:eastAsia="ru-RU" w:bidi="ru-RU"/>
          <w:w w:val="100"/>
          <w:spacing w:val="0"/>
          <w:color w:val="000000"/>
          <w:position w:val="0"/>
        </w:rPr>
        <w:t>Ввиду изложенного, аукционная комиссия Заказчика при отказе в допуске к участию в аукционе участнику закупки № 7 по вышеизложенному основанию действовала с нарушением положений Закона.</w:t>
      </w:r>
    </w:p>
    <w:p>
      <w:pPr>
        <w:pStyle w:val="Style18"/>
        <w:numPr>
          <w:ilvl w:val="0"/>
          <w:numId w:val="15"/>
        </w:numPr>
        <w:tabs>
          <w:tab w:leader="none" w:pos="1171" w:val="left"/>
        </w:tabs>
        <w:widowControl w:val="0"/>
        <w:keepNext w:val="0"/>
        <w:keepLines w:val="0"/>
        <w:shd w:val="clear" w:color="auto" w:fill="auto"/>
        <w:bidi w:val="0"/>
        <w:spacing w:before="0" w:after="0" w:line="317" w:lineRule="exact"/>
        <w:ind w:left="120" w:right="20" w:firstLine="720"/>
      </w:pPr>
      <w:r>
        <w:rPr>
          <w:lang w:val="ru-RU" w:eastAsia="ru-RU" w:bidi="ru-RU"/>
          <w:w w:val="100"/>
          <w:spacing w:val="0"/>
          <w:color w:val="000000"/>
          <w:position w:val="0"/>
        </w:rPr>
        <w:t>В силу п. 5.2 ГОСТ 3826-82 «Сетки проволочные тканые с квадратными ячейками. Технические условия» транспортная маркировка - по ГОСТ 14192 со следующими дополнениями. К каждому рулону сетки должен быть прочно прикреплен ярлык, на котором указывают:</w:t>
      </w:r>
    </w:p>
    <w:p>
      <w:pPr>
        <w:pStyle w:val="Style18"/>
        <w:numPr>
          <w:ilvl w:val="0"/>
          <w:numId w:val="3"/>
        </w:numPr>
        <w:widowControl w:val="0"/>
        <w:keepNext w:val="0"/>
        <w:keepLines w:val="0"/>
        <w:shd w:val="clear" w:color="auto" w:fill="auto"/>
        <w:bidi w:val="0"/>
        <w:spacing w:before="0" w:after="0" w:line="317" w:lineRule="exact"/>
        <w:ind w:left="120" w:right="0" w:firstLine="720"/>
      </w:pPr>
      <w:r>
        <w:rPr>
          <w:lang w:val="ru-RU" w:eastAsia="ru-RU" w:bidi="ru-RU"/>
          <w:w w:val="100"/>
          <w:spacing w:val="0"/>
          <w:color w:val="000000"/>
          <w:position w:val="0"/>
        </w:rPr>
        <w:t xml:space="preserve"> товарный знак или наименование и товарный знак предприятия-изготовителя;</w:t>
      </w:r>
    </w:p>
    <w:p>
      <w:pPr>
        <w:pStyle w:val="Style18"/>
        <w:numPr>
          <w:ilvl w:val="0"/>
          <w:numId w:val="3"/>
        </w:numPr>
        <w:widowControl w:val="0"/>
        <w:keepNext w:val="0"/>
        <w:keepLines w:val="0"/>
        <w:shd w:val="clear" w:color="auto" w:fill="auto"/>
        <w:bidi w:val="0"/>
        <w:spacing w:before="0" w:after="0" w:line="317" w:lineRule="exact"/>
        <w:ind w:left="120" w:right="0" w:firstLine="720"/>
      </w:pPr>
      <w:r>
        <w:rPr>
          <w:lang w:val="ru-RU" w:eastAsia="ru-RU" w:bidi="ru-RU"/>
          <w:w w:val="100"/>
          <w:spacing w:val="0"/>
          <w:color w:val="000000"/>
          <w:position w:val="0"/>
        </w:rPr>
        <w:t xml:space="preserve"> условное обозначение сетки;</w:t>
      </w:r>
    </w:p>
    <w:p>
      <w:pPr>
        <w:pStyle w:val="Style18"/>
        <w:numPr>
          <w:ilvl w:val="0"/>
          <w:numId w:val="3"/>
        </w:numPr>
        <w:widowControl w:val="0"/>
        <w:keepNext w:val="0"/>
        <w:keepLines w:val="0"/>
        <w:shd w:val="clear" w:color="auto" w:fill="auto"/>
        <w:bidi w:val="0"/>
        <w:spacing w:before="0" w:after="0" w:line="317" w:lineRule="exact"/>
        <w:ind w:left="120" w:right="0" w:firstLine="720"/>
      </w:pPr>
      <w:r>
        <w:rPr>
          <w:lang w:val="ru-RU" w:eastAsia="ru-RU" w:bidi="ru-RU"/>
          <w:w w:val="100"/>
          <w:spacing w:val="0"/>
          <w:color w:val="000000"/>
          <w:position w:val="0"/>
        </w:rPr>
        <w:t xml:space="preserve"> ширину сетки, мм;</w:t>
      </w:r>
    </w:p>
    <w:p>
      <w:pPr>
        <w:pStyle w:val="Style18"/>
        <w:numPr>
          <w:ilvl w:val="0"/>
          <w:numId w:val="3"/>
        </w:numPr>
        <w:widowControl w:val="0"/>
        <w:keepNext w:val="0"/>
        <w:keepLines w:val="0"/>
        <w:shd w:val="clear" w:color="auto" w:fill="auto"/>
        <w:bidi w:val="0"/>
        <w:spacing w:before="0" w:after="0" w:line="317" w:lineRule="exact"/>
        <w:ind w:left="120" w:right="0" w:firstLine="720"/>
      </w:pPr>
      <w:r>
        <w:rPr>
          <w:lang w:val="ru-RU" w:eastAsia="ru-RU" w:bidi="ru-RU"/>
          <w:w w:val="100"/>
          <w:spacing w:val="0"/>
          <w:color w:val="000000"/>
          <w:position w:val="0"/>
        </w:rPr>
        <w:t xml:space="preserve"> длину сетки, м.</w:t>
      </w:r>
    </w:p>
    <w:p>
      <w:pPr>
        <w:pStyle w:val="Style18"/>
        <w:widowControl w:val="0"/>
        <w:keepNext w:val="0"/>
        <w:keepLines w:val="0"/>
        <w:shd w:val="clear" w:color="auto" w:fill="auto"/>
        <w:bidi w:val="0"/>
        <w:spacing w:before="0" w:after="297" w:line="317" w:lineRule="exact"/>
        <w:ind w:left="120" w:right="20" w:firstLine="720"/>
      </w:pPr>
      <w:r>
        <w:rPr>
          <w:lang w:val="ru-RU" w:eastAsia="ru-RU" w:bidi="ru-RU"/>
          <w:w w:val="100"/>
          <w:spacing w:val="0"/>
          <w:color w:val="000000"/>
          <w:position w:val="0"/>
        </w:rPr>
        <w:t>В составе заявки ООО «Люксстройремонт» в отношении товара «Сетка проволочная штукатурная тканая, квадрат» содержится следующее:</w:t>
      </w:r>
    </w:p>
    <w:tbl>
      <w:tblPr>
        <w:tblOverlap w:val="never"/>
        <w:tblLayout w:type="fixed"/>
        <w:jc w:val="center"/>
      </w:tblPr>
      <w:tblGrid>
        <w:gridCol w:w="446"/>
        <w:gridCol w:w="1458"/>
        <w:gridCol w:w="4036"/>
        <w:gridCol w:w="3038"/>
        <w:gridCol w:w="878"/>
      </w:tblGrid>
      <w:tr>
        <w:trPr>
          <w:trHeight w:val="256" w:hRule="exact"/>
        </w:trPr>
        <w:tc>
          <w:tcPr>
            <w:shd w:val="clear" w:color="auto" w:fill="FFFFFF"/>
            <w:vMerge w:val="restart"/>
            <w:tcBorders>
              <w:left w:val="single" w:sz="4"/>
              <w:top w:val="single" w:sz="4"/>
            </w:tcBorders>
            <w:vAlign w:val="top"/>
          </w:tcPr>
          <w:p>
            <w:pPr>
              <w:pStyle w:val="Style18"/>
              <w:framePr w:w="9857"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44"/>
              </w:rPr>
              <w:t>13.</w:t>
            </w:r>
          </w:p>
        </w:tc>
        <w:tc>
          <w:tcPr>
            <w:shd w:val="clear" w:color="auto" w:fill="FFFFFF"/>
            <w:vMerge w:val="restart"/>
            <w:tcBorders>
              <w:left w:val="single" w:sz="4"/>
              <w:top w:val="single" w:sz="4"/>
            </w:tcBorders>
            <w:vAlign w:val="top"/>
          </w:tcPr>
          <w:p>
            <w:pPr>
              <w:pStyle w:val="Style18"/>
              <w:framePr w:w="9857" w:wrap="notBeside" w:vAnchor="text" w:hAnchor="text" w:xAlign="center" w:y="1"/>
              <w:widowControl w:val="0"/>
              <w:keepNext w:val="0"/>
              <w:keepLines w:val="0"/>
              <w:shd w:val="clear" w:color="auto" w:fill="auto"/>
              <w:bidi w:val="0"/>
              <w:jc w:val="center"/>
              <w:spacing w:before="0" w:after="0" w:line="173" w:lineRule="exact"/>
              <w:ind w:left="0" w:right="0" w:firstLine="0"/>
            </w:pPr>
            <w:r>
              <w:rPr>
                <w:rStyle w:val="CharStyle44"/>
              </w:rPr>
              <w:t>Сетка проволочная штукатурная тканая, квадрат</w:t>
            </w: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spacing w:before="0" w:after="0" w:line="140" w:lineRule="exact"/>
              <w:ind w:left="0" w:right="0" w:firstLine="0"/>
            </w:pPr>
            <w:r>
              <w:rPr>
                <w:rStyle w:val="CharStyle44"/>
              </w:rPr>
              <w:t>Номинальный размер стороны ячейки</w:t>
            </w: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jc w:val="left"/>
              <w:spacing w:before="0" w:after="0" w:line="140" w:lineRule="exact"/>
              <w:ind w:left="60" w:right="0" w:firstLine="0"/>
            </w:pPr>
            <w:r>
              <w:rPr>
                <w:rStyle w:val="CharStyle44"/>
              </w:rPr>
              <w:t>4,00</w:t>
            </w:r>
          </w:p>
        </w:tc>
        <w:tc>
          <w:tcPr>
            <w:shd w:val="clear" w:color="auto" w:fill="FFFFFF"/>
            <w:tcBorders>
              <w:left w:val="single" w:sz="4"/>
              <w:righ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44"/>
              </w:rPr>
              <w:t>ММ</w:t>
            </w:r>
          </w:p>
        </w:tc>
      </w:tr>
      <w:tr>
        <w:trPr>
          <w:trHeight w:val="180" w:hRule="exact"/>
        </w:trPr>
        <w:tc>
          <w:tcPr>
            <w:shd w:val="clear" w:color="auto" w:fill="FFFFFF"/>
            <w:vMerge/>
            <w:tcBorders>
              <w:left w:val="single" w:sz="4"/>
            </w:tcBorders>
            <w:vAlign w:val="top"/>
          </w:tcPr>
          <w:p>
            <w:pPr>
              <w:framePr w:w="9857" w:wrap="notBeside" w:vAnchor="text" w:hAnchor="text" w:xAlign="center" w:y="1"/>
            </w:pPr>
          </w:p>
        </w:tc>
        <w:tc>
          <w:tcPr>
            <w:shd w:val="clear" w:color="auto" w:fill="FFFFFF"/>
            <w:vMerge/>
            <w:tcBorders>
              <w:left w:val="single" w:sz="4"/>
            </w:tcBorders>
            <w:vAlign w:val="top"/>
          </w:tcPr>
          <w:p>
            <w:pPr>
              <w:framePr w:w="9857" w:wrap="notBeside" w:vAnchor="text" w:hAnchor="text" w:xAlign="center" w:y="1"/>
            </w:pP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spacing w:before="0" w:after="0" w:line="140" w:lineRule="exact"/>
              <w:ind w:left="0" w:right="0" w:firstLine="0"/>
            </w:pPr>
            <w:r>
              <w:rPr>
                <w:rStyle w:val="CharStyle44"/>
              </w:rPr>
              <w:t>Номинальный диаметр проволоки</w:t>
            </w: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jc w:val="left"/>
              <w:spacing w:before="0" w:after="0" w:line="140" w:lineRule="exact"/>
              <w:ind w:left="60" w:right="0" w:firstLine="0"/>
            </w:pPr>
            <w:r>
              <w:rPr>
                <w:rStyle w:val="CharStyle44"/>
              </w:rPr>
              <w:t>1.00</w:t>
            </w:r>
          </w:p>
        </w:tc>
        <w:tc>
          <w:tcPr>
            <w:shd w:val="clear" w:color="auto" w:fill="FFFFFF"/>
            <w:tcBorders>
              <w:left w:val="single" w:sz="4"/>
              <w:righ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44"/>
              </w:rPr>
              <w:t>мм</w:t>
            </w:r>
          </w:p>
        </w:tc>
      </w:tr>
      <w:tr>
        <w:trPr>
          <w:trHeight w:val="187" w:hRule="exact"/>
        </w:trPr>
        <w:tc>
          <w:tcPr>
            <w:shd w:val="clear" w:color="auto" w:fill="FFFFFF"/>
            <w:vMerge/>
            <w:tcBorders>
              <w:left w:val="single" w:sz="4"/>
            </w:tcBorders>
            <w:vAlign w:val="top"/>
          </w:tcPr>
          <w:p>
            <w:pPr>
              <w:framePr w:w="9857" w:wrap="notBeside" w:vAnchor="text" w:hAnchor="text" w:xAlign="center" w:y="1"/>
            </w:pPr>
          </w:p>
        </w:tc>
        <w:tc>
          <w:tcPr>
            <w:shd w:val="clear" w:color="auto" w:fill="FFFFFF"/>
            <w:vMerge/>
            <w:tcBorders>
              <w:left w:val="single" w:sz="4"/>
            </w:tcBorders>
            <w:vAlign w:val="top"/>
          </w:tcPr>
          <w:p>
            <w:pPr>
              <w:framePr w:w="9857" w:wrap="notBeside" w:vAnchor="text" w:hAnchor="text" w:xAlign="center" w:y="1"/>
            </w:pP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spacing w:before="0" w:after="0" w:line="140" w:lineRule="exact"/>
              <w:ind w:left="0" w:right="0" w:firstLine="0"/>
            </w:pPr>
            <w:r>
              <w:rPr>
                <w:rStyle w:val="CharStyle44"/>
              </w:rPr>
              <w:t>Группа точности</w:t>
            </w: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jc w:val="left"/>
              <w:spacing w:before="0" w:after="0" w:line="140" w:lineRule="exact"/>
              <w:ind w:left="60" w:right="0" w:firstLine="0"/>
            </w:pPr>
            <w:r>
              <w:rPr>
                <w:rStyle w:val="CharStyle44"/>
              </w:rPr>
              <w:t>2</w:t>
            </w:r>
          </w:p>
        </w:tc>
        <w:tc>
          <w:tcPr>
            <w:shd w:val="clear" w:color="auto" w:fill="FFFFFF"/>
            <w:tcBorders>
              <w:left w:val="single" w:sz="4"/>
              <w:right w:val="single" w:sz="4"/>
              <w:top w:val="single" w:sz="4"/>
            </w:tcBorders>
            <w:vAlign w:val="top"/>
          </w:tcPr>
          <w:p>
            <w:pPr>
              <w:framePr w:w="9857" w:wrap="notBeside" w:vAnchor="text" w:hAnchor="text" w:xAlign="center" w:y="1"/>
              <w:widowControl w:val="0"/>
              <w:rPr>
                <w:sz w:val="10"/>
                <w:szCs w:val="10"/>
              </w:rPr>
            </w:pPr>
          </w:p>
        </w:tc>
      </w:tr>
      <w:tr>
        <w:trPr>
          <w:trHeight w:val="364" w:hRule="exact"/>
        </w:trPr>
        <w:tc>
          <w:tcPr>
            <w:shd w:val="clear" w:color="auto" w:fill="FFFFFF"/>
            <w:vMerge/>
            <w:tcBorders>
              <w:left w:val="single" w:sz="4"/>
            </w:tcBorders>
            <w:vAlign w:val="top"/>
          </w:tcPr>
          <w:p>
            <w:pPr>
              <w:framePr w:w="9857" w:wrap="notBeside" w:vAnchor="text" w:hAnchor="text" w:xAlign="center" w:y="1"/>
            </w:pPr>
          </w:p>
        </w:tc>
        <w:tc>
          <w:tcPr>
            <w:shd w:val="clear" w:color="auto" w:fill="FFFFFF"/>
            <w:vMerge/>
            <w:tcBorders>
              <w:left w:val="single" w:sz="4"/>
            </w:tcBorders>
            <w:vAlign w:val="top"/>
          </w:tcPr>
          <w:p>
            <w:pPr>
              <w:framePr w:w="9857" w:wrap="notBeside" w:vAnchor="text" w:hAnchor="text" w:xAlign="center" w:y="1"/>
            </w:pPr>
          </w:p>
        </w:tc>
        <w:tc>
          <w:tcPr>
            <w:shd w:val="clear" w:color="auto" w:fill="FFFFFF"/>
            <w:tcBorders>
              <w:left w:val="single" w:sz="4"/>
              <w:top w:val="single" w:sz="4"/>
            </w:tcBorders>
            <w:vAlign w:val="bottom"/>
          </w:tcPr>
          <w:p>
            <w:pPr>
              <w:pStyle w:val="Style18"/>
              <w:framePr w:w="9857" w:wrap="notBeside" w:vAnchor="text" w:hAnchor="text" w:xAlign="center" w:y="1"/>
              <w:widowControl w:val="0"/>
              <w:keepNext w:val="0"/>
              <w:keepLines w:val="0"/>
              <w:shd w:val="clear" w:color="auto" w:fill="auto"/>
              <w:bidi w:val="0"/>
              <w:spacing w:before="0" w:after="0" w:line="180" w:lineRule="exact"/>
              <w:ind w:left="0" w:right="0" w:firstLine="0"/>
            </w:pPr>
            <w:r>
              <w:rPr>
                <w:rStyle w:val="CharStyle44"/>
              </w:rPr>
              <w:t>Допускаемое отклонение от номинального размера для сред</w:t>
              <w:softHyphen/>
              <w:t>него арифметического размера стороны ячейки в свету</w:t>
            </w:r>
          </w:p>
        </w:tc>
        <w:tc>
          <w:tcPr>
            <w:shd w:val="clear" w:color="auto" w:fill="FFFFFF"/>
            <w:tcBorders>
              <w:left w:val="single" w:sz="4"/>
              <w:top w:val="single" w:sz="4"/>
            </w:tcBorders>
            <w:vAlign w:val="top"/>
          </w:tcPr>
          <w:p>
            <w:pPr>
              <w:pStyle w:val="Style18"/>
              <w:framePr w:w="9857" w:wrap="notBeside" w:vAnchor="text" w:hAnchor="text" w:xAlign="center" w:y="1"/>
              <w:widowControl w:val="0"/>
              <w:keepNext w:val="0"/>
              <w:keepLines w:val="0"/>
              <w:shd w:val="clear" w:color="auto" w:fill="auto"/>
              <w:bidi w:val="0"/>
              <w:jc w:val="left"/>
              <w:spacing w:before="0" w:after="0" w:line="140" w:lineRule="exact"/>
              <w:ind w:left="60" w:right="0" w:firstLine="0"/>
            </w:pPr>
            <w:r>
              <w:rPr>
                <w:rStyle w:val="CharStyle44"/>
              </w:rPr>
              <w:t>±9</w:t>
            </w:r>
          </w:p>
        </w:tc>
        <w:tc>
          <w:tcPr>
            <w:shd w:val="clear" w:color="auto" w:fill="FFFFFF"/>
            <w:tcBorders>
              <w:left w:val="single" w:sz="4"/>
              <w:right w:val="single" w:sz="4"/>
              <w:top w:val="single" w:sz="4"/>
            </w:tcBorders>
            <w:vAlign w:val="top"/>
          </w:tcPr>
          <w:p>
            <w:pPr>
              <w:pStyle w:val="Style18"/>
              <w:framePr w:w="9857"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44"/>
              </w:rPr>
              <w:t>%</w:t>
            </w:r>
          </w:p>
        </w:tc>
      </w:tr>
      <w:tr>
        <w:trPr>
          <w:trHeight w:val="392" w:hRule="exact"/>
        </w:trPr>
        <w:tc>
          <w:tcPr>
            <w:shd w:val="clear" w:color="auto" w:fill="FFFFFF"/>
            <w:vMerge/>
            <w:tcBorders>
              <w:left w:val="single" w:sz="4"/>
              <w:bottom w:val="single" w:sz="4"/>
            </w:tcBorders>
            <w:vAlign w:val="top"/>
          </w:tcPr>
          <w:p>
            <w:pPr>
              <w:framePr w:w="9857" w:wrap="notBeside" w:vAnchor="text" w:hAnchor="text" w:xAlign="center" w:y="1"/>
            </w:pPr>
          </w:p>
        </w:tc>
        <w:tc>
          <w:tcPr>
            <w:shd w:val="clear" w:color="auto" w:fill="FFFFFF"/>
            <w:vMerge/>
            <w:tcBorders>
              <w:left w:val="single" w:sz="4"/>
              <w:bottom w:val="single" w:sz="4"/>
            </w:tcBorders>
            <w:vAlign w:val="top"/>
          </w:tcPr>
          <w:p>
            <w:pPr>
              <w:framePr w:w="9857" w:wrap="notBeside" w:vAnchor="text" w:hAnchor="text" w:xAlign="center" w:y="1"/>
            </w:pPr>
          </w:p>
        </w:tc>
        <w:tc>
          <w:tcPr>
            <w:shd w:val="clear" w:color="auto" w:fill="FFFFFF"/>
            <w:tcBorders>
              <w:left w:val="single" w:sz="4"/>
              <w:top w:val="single" w:sz="4"/>
              <w:bottom w:val="single" w:sz="4"/>
            </w:tcBorders>
            <w:vAlign w:val="top"/>
          </w:tcPr>
          <w:p>
            <w:pPr>
              <w:pStyle w:val="Style18"/>
              <w:framePr w:w="9857" w:wrap="notBeside" w:vAnchor="text" w:hAnchor="text" w:xAlign="center" w:y="1"/>
              <w:widowControl w:val="0"/>
              <w:keepNext w:val="0"/>
              <w:keepLines w:val="0"/>
              <w:shd w:val="clear" w:color="auto" w:fill="auto"/>
              <w:bidi w:val="0"/>
              <w:spacing w:before="0" w:after="0" w:line="176" w:lineRule="exact"/>
              <w:ind w:left="0" w:right="0" w:firstLine="0"/>
            </w:pPr>
            <w:r>
              <w:rPr>
                <w:rStyle w:val="CharStyle44"/>
              </w:rPr>
              <w:t>Максимальное допускаемое отклонение от номинального для размера отдельной увеличенной ячейки в свете</w:t>
            </w:r>
          </w:p>
        </w:tc>
        <w:tc>
          <w:tcPr>
            <w:shd w:val="clear" w:color="auto" w:fill="FFFFFF"/>
            <w:tcBorders>
              <w:left w:val="single" w:sz="4"/>
              <w:top w:val="single" w:sz="4"/>
              <w:bottom w:val="single" w:sz="4"/>
            </w:tcBorders>
            <w:vAlign w:val="top"/>
          </w:tcPr>
          <w:p>
            <w:pPr>
              <w:pStyle w:val="Style18"/>
              <w:framePr w:w="9857" w:wrap="notBeside" w:vAnchor="text" w:hAnchor="text" w:xAlign="center" w:y="1"/>
              <w:widowControl w:val="0"/>
              <w:keepNext w:val="0"/>
              <w:keepLines w:val="0"/>
              <w:shd w:val="clear" w:color="auto" w:fill="auto"/>
              <w:bidi w:val="0"/>
              <w:jc w:val="left"/>
              <w:spacing w:before="0" w:after="0" w:line="140" w:lineRule="exact"/>
              <w:ind w:left="60" w:right="0" w:firstLine="0"/>
            </w:pPr>
            <w:r>
              <w:rPr>
                <w:rStyle w:val="CharStyle44"/>
              </w:rPr>
              <w:t>40</w:t>
            </w:r>
          </w:p>
        </w:tc>
        <w:tc>
          <w:tcPr>
            <w:shd w:val="clear" w:color="auto" w:fill="FFFFFF"/>
            <w:tcBorders>
              <w:left w:val="single" w:sz="4"/>
              <w:right w:val="single" w:sz="4"/>
              <w:top w:val="single" w:sz="4"/>
              <w:bottom w:val="single" w:sz="4"/>
            </w:tcBorders>
            <w:vAlign w:val="top"/>
          </w:tcPr>
          <w:p>
            <w:pPr>
              <w:pStyle w:val="Style18"/>
              <w:framePr w:w="9857"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44"/>
              </w:rPr>
              <w:t>%</w:t>
            </w:r>
          </w:p>
        </w:tc>
      </w:tr>
    </w:tbl>
    <w:p>
      <w:pPr>
        <w:widowControl w:val="0"/>
        <w:rPr>
          <w:sz w:val="2"/>
          <w:szCs w:val="2"/>
        </w:rPr>
      </w:pPr>
    </w:p>
    <w:p>
      <w:pPr>
        <w:pStyle w:val="Style18"/>
        <w:widowControl w:val="0"/>
        <w:keepNext w:val="0"/>
        <w:keepLines w:val="0"/>
        <w:shd w:val="clear" w:color="auto" w:fill="auto"/>
        <w:bidi w:val="0"/>
        <w:spacing w:before="286" w:after="0" w:line="313" w:lineRule="exact"/>
        <w:ind w:left="120" w:right="20" w:firstLine="720"/>
      </w:pPr>
      <w:r>
        <w:rPr>
          <w:lang w:val="ru-RU" w:eastAsia="ru-RU" w:bidi="ru-RU"/>
          <w:w w:val="100"/>
          <w:spacing w:val="0"/>
          <w:color w:val="000000"/>
          <w:position w:val="0"/>
        </w:rPr>
        <w:t>Кроме того, в заявке участника закупки № 7 указано: «</w:t>
      </w:r>
      <w:r>
        <w:rPr>
          <w:rStyle w:val="CharStyle39"/>
        </w:rPr>
        <w:t>Товар, в отношении которого</w:t>
      </w:r>
      <w:r>
        <w:rPr>
          <w:lang w:val="ru-RU" w:eastAsia="ru-RU" w:bidi="ru-RU"/>
          <w:w w:val="100"/>
          <w:spacing w:val="0"/>
          <w:color w:val="000000"/>
          <w:position w:val="0"/>
        </w:rPr>
        <w:t xml:space="preserve"> </w:t>
      </w:r>
      <w:r>
        <w:rPr>
          <w:rStyle w:val="CharStyle39"/>
        </w:rPr>
        <w:t>отсутствует указание на товарный знак (его словесное обозначение)</w:t>
      </w:r>
      <w:r>
        <w:rPr>
          <w:lang w:val="ru-RU" w:eastAsia="ru-RU" w:bidi="ru-RU"/>
          <w:w w:val="100"/>
          <w:spacing w:val="0"/>
          <w:color w:val="000000"/>
          <w:position w:val="0"/>
        </w:rPr>
        <w:t xml:space="preserve">, знак обслуживания, фирменное наименование, патенты, полезные модели, промышленные образцы, </w:t>
      </w:r>
      <w:r>
        <w:rPr>
          <w:rStyle w:val="CharStyle39"/>
        </w:rPr>
        <w:t>не имеет</w:t>
      </w:r>
      <w:r>
        <w:rPr>
          <w:lang w:val="ru-RU" w:eastAsia="ru-RU" w:bidi="ru-RU"/>
          <w:w w:val="100"/>
          <w:spacing w:val="0"/>
          <w:color w:val="000000"/>
          <w:position w:val="0"/>
        </w:rPr>
        <w:t xml:space="preserve"> </w:t>
      </w:r>
      <w:r>
        <w:rPr>
          <w:rStyle w:val="CharStyle39"/>
        </w:rPr>
        <w:t>зарегистрированного в установленном законодательством Российской Федерации порядке</w:t>
      </w:r>
      <w:r>
        <w:rPr>
          <w:lang w:val="ru-RU" w:eastAsia="ru-RU" w:bidi="ru-RU"/>
          <w:w w:val="100"/>
          <w:spacing w:val="0"/>
          <w:color w:val="000000"/>
          <w:position w:val="0"/>
        </w:rPr>
        <w:t xml:space="preserve"> </w:t>
      </w:r>
      <w:r>
        <w:rPr>
          <w:rStyle w:val="CharStyle39"/>
        </w:rPr>
        <w:t>товарного знака (его словесного обозначения)</w:t>
      </w:r>
      <w:r>
        <w:rPr>
          <w:lang w:val="ru-RU" w:eastAsia="ru-RU" w:bidi="ru-RU"/>
          <w:w w:val="100"/>
          <w:spacing w:val="0"/>
          <w:color w:val="000000"/>
          <w:position w:val="0"/>
        </w:rPr>
        <w:t>, знака обслуживания, фирменного наименования, патентов, не является полезной моделью, промышленным образцом».</w:t>
      </w:r>
    </w:p>
    <w:p>
      <w:pPr>
        <w:pStyle w:val="Style18"/>
        <w:widowControl w:val="0"/>
        <w:keepNext w:val="0"/>
        <w:keepLines w:val="0"/>
        <w:shd w:val="clear" w:color="auto" w:fill="auto"/>
        <w:bidi w:val="0"/>
        <w:spacing w:before="0" w:after="0" w:line="313" w:lineRule="exact"/>
        <w:ind w:left="120" w:right="20" w:firstLine="720"/>
      </w:pPr>
      <w:r>
        <w:rPr>
          <w:lang w:val="ru-RU" w:eastAsia="ru-RU" w:bidi="ru-RU"/>
          <w:w w:val="100"/>
          <w:spacing w:val="0"/>
          <w:color w:val="000000"/>
          <w:position w:val="0"/>
        </w:rPr>
        <w:t>Вместе с тем, требования ГОСТ 3826-82 о наличии товарного знака не носят обязательный характер, о чем сделала вывод аукционная комиссия Заказчика при рассмотрении первых частей заявок, поданных на участие в аукционе. Допуская расширенное толкование положений ГОСТ 3826-82 и требований аукционной документации при отклонении заявки, поданной ООО «Люксстройремонт» на участие в аукционе, аукционная комиссия Заказчика действовала с нарушением положений Закона.</w:t>
      </w:r>
    </w:p>
    <w:p>
      <w:pPr>
        <w:pStyle w:val="Style18"/>
        <w:widowControl w:val="0"/>
        <w:keepNext w:val="0"/>
        <w:keepLines w:val="0"/>
        <w:shd w:val="clear" w:color="auto" w:fill="auto"/>
        <w:bidi w:val="0"/>
        <w:spacing w:before="0" w:after="0" w:line="313" w:lineRule="exact"/>
        <w:ind w:left="120" w:right="20" w:firstLine="720"/>
      </w:pPr>
      <w:r>
        <w:rPr>
          <w:lang w:val="ru-RU" w:eastAsia="ru-RU" w:bidi="ru-RU"/>
          <w:w w:val="100"/>
          <w:spacing w:val="0"/>
          <w:color w:val="000000"/>
          <w:position w:val="0"/>
        </w:rPr>
        <w:t>Таким образом, при отказе в допуске к участию в аукционе заявке, поданной Заявителем 3 на участие в аукционе, аукционная комиссия Заказчика нарушила ч. 5 ст. 67 Закона, что подтверждает обоснованность жалобы ООО «Люксстройремонт».</w:t>
      </w:r>
    </w:p>
    <w:p>
      <w:pPr>
        <w:pStyle w:val="Style18"/>
        <w:widowControl w:val="0"/>
        <w:keepNext w:val="0"/>
        <w:keepLines w:val="0"/>
        <w:shd w:val="clear" w:color="auto" w:fill="auto"/>
        <w:bidi w:val="0"/>
        <w:spacing w:before="0" w:after="0" w:line="313" w:lineRule="exact"/>
        <w:ind w:left="120" w:right="20" w:firstLine="72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21"/>
        <w:widowControl w:val="0"/>
        <w:keepNext w:val="0"/>
        <w:keepLines w:val="0"/>
        <w:shd w:val="clear" w:color="auto" w:fill="auto"/>
        <w:bidi w:val="0"/>
        <w:jc w:val="center"/>
        <w:spacing w:before="0" w:after="298" w:line="210" w:lineRule="exact"/>
        <w:ind w:left="220" w:right="0" w:firstLine="0"/>
      </w:pPr>
      <w:r>
        <w:rPr>
          <w:lang w:val="ru-RU" w:eastAsia="ru-RU" w:bidi="ru-RU"/>
          <w:w w:val="100"/>
          <w:spacing w:val="0"/>
          <w:color w:val="000000"/>
          <w:position w:val="0"/>
        </w:rPr>
        <w:t>РЕШИЛА:</w:t>
      </w:r>
    </w:p>
    <w:p>
      <w:pPr>
        <w:pStyle w:val="Style18"/>
        <w:numPr>
          <w:ilvl w:val="0"/>
          <w:numId w:val="17"/>
        </w:numPr>
        <w:widowControl w:val="0"/>
        <w:keepNext w:val="0"/>
        <w:keepLines w:val="0"/>
        <w:shd w:val="clear" w:color="auto" w:fill="auto"/>
        <w:bidi w:val="0"/>
        <w:jc w:val="left"/>
        <w:spacing w:before="0" w:after="0" w:line="317" w:lineRule="exact"/>
        <w:ind w:left="20" w:right="0" w:firstLine="740"/>
      </w:pPr>
      <w:r>
        <w:rPr>
          <w:lang w:val="ru-RU" w:eastAsia="ru-RU" w:bidi="ru-RU"/>
          <w:w w:val="100"/>
          <w:spacing w:val="0"/>
          <w:color w:val="000000"/>
          <w:position w:val="0"/>
        </w:rPr>
        <w:t xml:space="preserve"> Признать жалобу ООО «Центр поставок Профит» обоснованной.</w:t>
      </w:r>
    </w:p>
    <w:p>
      <w:pPr>
        <w:pStyle w:val="Style18"/>
        <w:numPr>
          <w:ilvl w:val="0"/>
          <w:numId w:val="17"/>
        </w:numPr>
        <w:widowControl w:val="0"/>
        <w:keepNext w:val="0"/>
        <w:keepLines w:val="0"/>
        <w:shd w:val="clear" w:color="auto" w:fill="auto"/>
        <w:bidi w:val="0"/>
        <w:jc w:val="left"/>
        <w:spacing w:before="0" w:after="0" w:line="317" w:lineRule="exact"/>
        <w:ind w:left="20" w:right="0" w:firstLine="740"/>
      </w:pPr>
      <w:r>
        <w:rPr>
          <w:lang w:val="ru-RU" w:eastAsia="ru-RU" w:bidi="ru-RU"/>
          <w:w w:val="100"/>
          <w:spacing w:val="0"/>
          <w:color w:val="000000"/>
          <w:position w:val="0"/>
        </w:rPr>
        <w:t xml:space="preserve"> Признать жалобу ООО «НовоСтрой» частично обоснованной.</w:t>
      </w:r>
    </w:p>
    <w:p>
      <w:pPr>
        <w:pStyle w:val="Style18"/>
        <w:numPr>
          <w:ilvl w:val="0"/>
          <w:numId w:val="17"/>
        </w:numPr>
        <w:widowControl w:val="0"/>
        <w:keepNext w:val="0"/>
        <w:keepLines w:val="0"/>
        <w:shd w:val="clear" w:color="auto" w:fill="auto"/>
        <w:bidi w:val="0"/>
        <w:jc w:val="left"/>
        <w:spacing w:before="0" w:after="0" w:line="317" w:lineRule="exact"/>
        <w:ind w:left="20" w:right="0" w:firstLine="740"/>
      </w:pPr>
      <w:r>
        <w:rPr>
          <w:lang w:val="ru-RU" w:eastAsia="ru-RU" w:bidi="ru-RU"/>
          <w:w w:val="100"/>
          <w:spacing w:val="0"/>
          <w:color w:val="000000"/>
          <w:position w:val="0"/>
        </w:rPr>
        <w:t xml:space="preserve"> Признать жалобу ООО «Люксстройремонт» обоснованной.</w:t>
      </w:r>
    </w:p>
    <w:p>
      <w:pPr>
        <w:pStyle w:val="Style18"/>
        <w:numPr>
          <w:ilvl w:val="0"/>
          <w:numId w:val="17"/>
        </w:numPr>
        <w:widowControl w:val="0"/>
        <w:keepNext w:val="0"/>
        <w:keepLines w:val="0"/>
        <w:shd w:val="clear" w:color="auto" w:fill="auto"/>
        <w:bidi w:val="0"/>
        <w:jc w:val="left"/>
        <w:spacing w:before="0" w:after="0" w:line="317" w:lineRule="exact"/>
        <w:ind w:left="20" w:right="0" w:firstLine="740"/>
      </w:pPr>
      <w:r>
        <w:rPr>
          <w:lang w:val="ru-RU" w:eastAsia="ru-RU" w:bidi="ru-RU"/>
          <w:w w:val="100"/>
          <w:spacing w:val="0"/>
          <w:color w:val="000000"/>
          <w:position w:val="0"/>
        </w:rPr>
        <w:t xml:space="preserve"> Признать Заказчика нарушившим ч. 1 ст. 64 Закона.</w:t>
      </w:r>
    </w:p>
    <w:p>
      <w:pPr>
        <w:pStyle w:val="Style18"/>
        <w:numPr>
          <w:ilvl w:val="0"/>
          <w:numId w:val="17"/>
        </w:numPr>
        <w:widowControl w:val="0"/>
        <w:keepNext w:val="0"/>
        <w:keepLines w:val="0"/>
        <w:shd w:val="clear" w:color="auto" w:fill="auto"/>
        <w:bidi w:val="0"/>
        <w:jc w:val="left"/>
        <w:spacing w:before="0" w:after="0" w:line="317" w:lineRule="exact"/>
        <w:ind w:left="20" w:right="0" w:firstLine="740"/>
      </w:pPr>
      <w:r>
        <w:rPr>
          <w:lang w:val="ru-RU" w:eastAsia="ru-RU" w:bidi="ru-RU"/>
          <w:w w:val="100"/>
          <w:spacing w:val="0"/>
          <w:color w:val="000000"/>
          <w:position w:val="0"/>
        </w:rPr>
        <w:t xml:space="preserve"> Признать аукционную комиссию Заказчика нарушившей ч. 5 ст. 67 Закона.</w:t>
      </w:r>
    </w:p>
    <w:p>
      <w:pPr>
        <w:pStyle w:val="Style18"/>
        <w:numPr>
          <w:ilvl w:val="0"/>
          <w:numId w:val="17"/>
        </w:numPr>
        <w:widowControl w:val="0"/>
        <w:keepNext w:val="0"/>
        <w:keepLines w:val="0"/>
        <w:shd w:val="clear" w:color="auto" w:fill="auto"/>
        <w:bidi w:val="0"/>
        <w:jc w:val="left"/>
        <w:spacing w:before="0" w:after="0" w:line="317" w:lineRule="exact"/>
        <w:ind w:left="20" w:right="220" w:firstLine="740"/>
      </w:pPr>
      <w:r>
        <w:rPr>
          <w:lang w:val="ru-RU" w:eastAsia="ru-RU" w:bidi="ru-RU"/>
          <w:w w:val="100"/>
          <w:spacing w:val="0"/>
          <w:color w:val="000000"/>
          <w:position w:val="0"/>
        </w:rPr>
        <w:t xml:space="preserve"> Выдать Заказчику, аукционной комиссии Заказчика предписание об отмене сформированных протоколов и аннулировании закупки.</w:t>
      </w:r>
    </w:p>
    <w:p>
      <w:pPr>
        <w:pStyle w:val="Style18"/>
        <w:numPr>
          <w:ilvl w:val="0"/>
          <w:numId w:val="17"/>
        </w:numPr>
        <w:widowControl w:val="0"/>
        <w:keepNext w:val="0"/>
        <w:keepLines w:val="0"/>
        <w:shd w:val="clear" w:color="auto" w:fill="auto"/>
        <w:bidi w:val="0"/>
        <w:jc w:val="left"/>
        <w:spacing w:before="0" w:after="970" w:line="317" w:lineRule="exact"/>
        <w:ind w:left="20" w:right="220" w:firstLine="740"/>
      </w:pPr>
      <w:r>
        <w:rPr>
          <w:lang w:val="ru-RU" w:eastAsia="ru-RU" w:bidi="ru-RU"/>
          <w:w w:val="100"/>
          <w:spacing w:val="0"/>
          <w:color w:val="000000"/>
          <w:position w:val="0"/>
        </w:rPr>
        <w:t xml:space="preserve"> Рассмотреть вопрос о привлечении виновных должностных лиц Заказчика к административной ответственности.</w:t>
      </w:r>
    </w:p>
    <w:p>
      <w:pPr>
        <w:pStyle w:val="Style18"/>
        <w:widowControl w:val="0"/>
        <w:keepNext w:val="0"/>
        <w:keepLines w:val="0"/>
        <w:shd w:val="clear" w:color="auto" w:fill="auto"/>
        <w:bidi w:val="0"/>
        <w:jc w:val="left"/>
        <w:spacing w:before="0" w:after="836" w:line="230" w:lineRule="exact"/>
        <w:ind w:left="20" w:right="0" w:firstLine="0"/>
      </w:pPr>
      <w:r>
        <w:rPr>
          <w:lang w:val="ru-RU" w:eastAsia="ru-RU" w:bidi="ru-RU"/>
          <w:w w:val="100"/>
          <w:spacing w:val="0"/>
          <w:color w:val="000000"/>
          <w:position w:val="0"/>
        </w:rPr>
        <w:t>Председатель Комиссии:</w:t>
      </w:r>
    </w:p>
    <w:p>
      <w:pPr>
        <w:pStyle w:val="Style18"/>
        <w:widowControl w:val="0"/>
        <w:keepNext w:val="0"/>
        <w:keepLines w:val="0"/>
        <w:shd w:val="clear" w:color="auto" w:fill="auto"/>
        <w:bidi w:val="0"/>
        <w:jc w:val="left"/>
        <w:spacing w:before="0" w:after="1511" w:line="230" w:lineRule="exact"/>
        <w:ind w:left="2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486" w:line="245" w:lineRule="exact"/>
        <w:ind w:left="20" w:right="220" w:firstLine="74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45"/>
        <w:widowControl w:val="0"/>
        <w:keepNext w:val="0"/>
        <w:keepLines w:val="0"/>
        <w:shd w:val="clear" w:color="auto" w:fill="auto"/>
        <w:bidi w:val="0"/>
        <w:jc w:val="left"/>
        <w:spacing w:before="0" w:after="0"/>
        <w:ind w:left="20" w:right="3480" w:firstLine="0"/>
        <w:sectPr>
          <w:type w:val="continuous"/>
          <w:pgSz w:w="11906" w:h="16838"/>
          <w:pgMar w:top="842" w:left="915" w:right="821" w:bottom="1108"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w:t>
      </w:r>
      <w:r>
        <w:fldChar w:fldCharType="begin"/>
      </w:r>
      <w:r>
        <w:rPr>
          <w:color w:val="000000"/>
        </w:rPr>
        <w:instrText> HYPERLINK "mailto:to61-chemyak@fas.gov.ru" </w:instrText>
      </w:r>
      <w:r>
        <w:fldChar w:fldCharType="separate"/>
      </w:r>
      <w:r>
        <w:rPr>
          <w:rStyle w:val="Hyperlink"/>
          <w:lang w:val="en-US" w:eastAsia="en-US" w:bidi="en-US"/>
          <w:w w:val="100"/>
          <w:spacing w:val="0"/>
          <w:position w:val="0"/>
        </w:rPr>
        <w:t>to61-chemyak@fas.gov.ru</w:t>
      </w:r>
      <w:r>
        <w:fldChar w:fldCharType="end"/>
      </w:r>
    </w:p>
    <w:p>
      <w:pPr>
        <w:pStyle w:val="Style3"/>
        <w:widowControl w:val="0"/>
        <w:keepNext w:val="0"/>
        <w:keepLines w:val="0"/>
        <w:shd w:val="clear" w:color="auto" w:fill="auto"/>
        <w:bidi w:val="0"/>
        <w:spacing w:before="322" w:after="88" w:line="223" w:lineRule="exact"/>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830"/>
        <w:ind w:left="0" w:right="0" w:firstLine="0"/>
      </w:pPr>
      <w:r>
        <w:rPr>
          <w:rStyle w:val="CharStyle11"/>
        </w:rPr>
        <w:t xml:space="preserve">пр. Ворошиловский. 2/2. офис 403 г. Ростов-на-Дон\\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23"/>
        <w:tabs>
          <w:tab w:leader="none" w:pos="2585" w:val="right"/>
        </w:tabs>
        <w:widowControl w:val="0"/>
        <w:keepNext w:val="0"/>
        <w:keepLines w:val="0"/>
        <w:shd w:val="clear" w:color="auto" w:fill="auto"/>
        <w:bidi w:val="0"/>
        <w:jc w:val="both"/>
        <w:spacing w:before="0" w:after="0" w:line="200" w:lineRule="exact"/>
        <w:ind w:left="540" w:right="0" w:firstLine="0"/>
      </w:pPr>
      <w:r>
        <w:rPr>
          <w:rStyle w:val="CharStyle47"/>
        </w:rPr>
        <w:t>На №</w:t>
        <w:tab/>
        <w:t>от</w:t>
      </w:r>
    </w:p>
    <w:p>
      <w:pPr>
        <w:pStyle w:val="Style21"/>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Муниципальное бюджетное учреждение здравоохранения «Центральная районная больница» Милютинского района Ростовской области</w:t>
      </w:r>
    </w:p>
    <w:p>
      <w:pPr>
        <w:pStyle w:val="Style2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Заказчик)</w:t>
      </w:r>
    </w:p>
    <w:p>
      <w:pPr>
        <w:pStyle w:val="Style23"/>
        <w:widowControl w:val="0"/>
        <w:keepNext w:val="0"/>
        <w:keepLines w:val="0"/>
        <w:shd w:val="clear" w:color="auto" w:fill="auto"/>
        <w:bidi w:val="0"/>
        <w:jc w:val="left"/>
        <w:spacing w:before="0" w:after="186"/>
        <w:ind w:left="20" w:right="40" w:firstLine="0"/>
      </w:pPr>
      <w:r>
        <w:rPr>
          <w:lang w:val="ru-RU" w:eastAsia="ru-RU" w:bidi="ru-RU"/>
          <w:w w:val="100"/>
          <w:spacing w:val="0"/>
          <w:color w:val="000000"/>
          <w:position w:val="0"/>
        </w:rPr>
        <w:t xml:space="preserve">347120, Ростовская обл., Милютинский р-н, ст-ца Мшпотинская, ул. Гагарина, 24 эл. почта: </w:t>
      </w:r>
      <w:r>
        <w:fldChar w:fldCharType="begin"/>
      </w:r>
      <w:r>
        <w:rPr>
          <w:rStyle w:val="CharStyle25"/>
        </w:rPr>
        <w:instrText> HYPERLINK "mailto:torgi.milcrb@yandex.ru" </w:instrText>
      </w:r>
      <w:r>
        <w:fldChar w:fldCharType="separate"/>
      </w:r>
      <w:r>
        <w:rPr>
          <w:rStyle w:val="Hyperlink"/>
        </w:rPr>
        <w:t>torgi.milcrb@yandex.ru</w:t>
      </w:r>
      <w:r>
        <w:fldChar w:fldCharType="end"/>
      </w:r>
    </w:p>
    <w:p>
      <w:pPr>
        <w:pStyle w:val="Style21"/>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ЗАО «Сбербанк-АСТ»</w:t>
      </w:r>
    </w:p>
    <w:p>
      <w:pPr>
        <w:pStyle w:val="Style23"/>
        <w:widowControl w:val="0"/>
        <w:keepNext w:val="0"/>
        <w:keepLines w:val="0"/>
        <w:shd w:val="clear" w:color="auto" w:fill="auto"/>
        <w:bidi w:val="0"/>
        <w:jc w:val="left"/>
        <w:spacing w:before="0" w:after="0" w:line="248" w:lineRule="exact"/>
        <w:ind w:left="20" w:right="40" w:firstLine="0"/>
        <w:sectPr>
          <w:pgSz w:w="11906" w:h="16838"/>
          <w:pgMar w:top="441" w:left="780" w:right="1684" w:bottom="1341" w:header="0" w:footer="3" w:gutter="0"/>
          <w:rtlGutter w:val="0"/>
          <w:cols w:num="2" w:space="720" w:equalWidth="0">
            <w:col w:w="4756" w:space="504"/>
            <w:col w:w="4183"/>
          </w:cols>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5"/>
        </w:rPr>
        <w:instrText> HYPERLINK "http://www.sberbank-ast.ru" </w:instrText>
      </w:r>
      <w:r>
        <w:fldChar w:fldCharType="separate"/>
      </w:r>
      <w:r>
        <w:rPr>
          <w:rStyle w:val="Hyperlink"/>
        </w:rPr>
        <w:t>www.sberbank-ast.ru</w:t>
      </w:r>
      <w:r>
        <w:fldChar w:fldCharType="end"/>
      </w:r>
      <w:r>
        <w:rPr>
          <w:rStyle w:val="CharStyle25"/>
        </w:rPr>
        <w:t xml:space="preserve"> </w:t>
      </w:r>
      <w:r>
        <w:rPr>
          <w:lang w:val="ru-RU" w:eastAsia="ru-RU" w:bidi="ru-RU"/>
          <w:w w:val="100"/>
          <w:spacing w:val="0"/>
          <w:color w:val="000000"/>
          <w:position w:val="0"/>
        </w:rPr>
        <w:t xml:space="preserve">эл. почта: </w:t>
      </w:r>
      <w:r>
        <w:fldChar w:fldCharType="begin"/>
      </w:r>
      <w:r>
        <w:rPr>
          <w:rStyle w:val="CharStyle25"/>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612" w:line="320" w:lineRule="exact"/>
        <w:ind w:left="0" w:right="60" w:firstLine="0"/>
      </w:pPr>
      <w:r>
        <w:rPr>
          <w:lang w:val="ru-RU" w:eastAsia="ru-RU" w:bidi="ru-RU"/>
          <w:w w:val="100"/>
          <w:spacing w:val="0"/>
          <w:color w:val="000000"/>
          <w:position w:val="0"/>
        </w:rPr>
        <w:t xml:space="preserve">ПРЕДПИСАНИЕ № </w:t>
      </w:r>
      <w:r>
        <w:rPr>
          <w:rStyle w:val="CharStyle48"/>
          <w:b/>
          <w:bCs/>
        </w:rPr>
        <w:t xml:space="preserve">999 </w:t>
      </w:r>
      <w:r>
        <w:rPr>
          <w:rStyle w:val="CharStyle49"/>
          <w:b/>
          <w:bCs/>
        </w:rPr>
        <w:t>/</w:t>
      </w:r>
      <w:r>
        <w:rPr>
          <w:lang w:val="ru-RU" w:eastAsia="ru-RU" w:bidi="ru-RU"/>
          <w:w w:val="100"/>
          <w:spacing w:val="0"/>
          <w:color w:val="000000"/>
          <w:position w:val="0"/>
        </w:rPr>
        <w:t>03 по делам №№ 2146/03, 2147/03,2172/03 о нарушении законодательства о контрактной системе в сфере закупок</w:t>
      </w:r>
    </w:p>
    <w:p>
      <w:pPr>
        <w:pStyle w:val="Style18"/>
        <w:numPr>
          <w:ilvl w:val="0"/>
          <w:numId w:val="19"/>
        </w:numPr>
        <w:tabs>
          <w:tab w:leader="none" w:pos="8012" w:val="left"/>
          <w:tab w:leader="none" w:pos="8089" w:val="left"/>
        </w:tabs>
        <w:widowControl w:val="0"/>
        <w:keepNext w:val="0"/>
        <w:keepLines w:val="0"/>
        <w:shd w:val="clear" w:color="auto" w:fill="auto"/>
        <w:bidi w:val="0"/>
        <w:spacing w:before="0" w:after="297" w:line="230" w:lineRule="exact"/>
        <w:ind w:left="0" w:right="0" w:firstLine="0"/>
      </w:pPr>
      <w:r>
        <w:rPr>
          <w:lang w:val="ru-RU" w:eastAsia="ru-RU" w:bidi="ru-RU"/>
          <w:w w:val="100"/>
          <w:spacing w:val="0"/>
          <w:color w:val="000000"/>
          <w:position w:val="0"/>
        </w:rPr>
        <w:t>гор. Ростов-на-Дону</w:t>
      </w:r>
    </w:p>
    <w:p>
      <w:pPr>
        <w:pStyle w:val="Style18"/>
        <w:widowControl w:val="0"/>
        <w:keepNext w:val="0"/>
        <w:keepLines w:val="0"/>
        <w:shd w:val="clear" w:color="auto" w:fill="auto"/>
        <w:bidi w:val="0"/>
        <w:spacing w:before="0" w:after="294" w:line="313" w:lineRule="exact"/>
        <w:ind w:left="0" w:right="2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8"/>
        <w:tabs>
          <w:tab w:leader="none" w:pos="8012" w:val="left"/>
        </w:tabs>
        <w:widowControl w:val="0"/>
        <w:keepNext w:val="0"/>
        <w:keepLines w:val="0"/>
        <w:shd w:val="clear" w:color="auto" w:fill="auto"/>
        <w:bidi w:val="0"/>
        <w:spacing w:before="0" w:after="0" w:line="320" w:lineRule="exact"/>
        <w:ind w:left="0" w:right="0" w:firstLine="0"/>
      </w:pPr>
      <w:r>
        <w:rPr>
          <w:lang w:val="ru-RU" w:eastAsia="ru-RU" w:bidi="ru-RU"/>
          <w:w w:val="100"/>
          <w:spacing w:val="0"/>
          <w:color w:val="000000"/>
          <w:position w:val="0"/>
        </w:rPr>
        <w:t>Председатель Комиссии:</w:t>
        <w:tab/>
        <w:t>К.А. Коренченко,</w:t>
      </w:r>
    </w:p>
    <w:p>
      <w:pPr>
        <w:pStyle w:val="Style18"/>
        <w:tabs>
          <w:tab w:leader="none" w:pos="8012" w:val="left"/>
        </w:tabs>
        <w:widowControl w:val="0"/>
        <w:keepNext w:val="0"/>
        <w:keepLines w:val="0"/>
        <w:shd w:val="clear" w:color="auto" w:fill="auto"/>
        <w:bidi w:val="0"/>
        <w:spacing w:before="0" w:after="0" w:line="320" w:lineRule="exact"/>
        <w:ind w:left="0" w:right="0" w:firstLine="0"/>
      </w:pPr>
      <w:r>
        <w:rPr>
          <w:lang w:val="ru-RU" w:eastAsia="ru-RU" w:bidi="ru-RU"/>
          <w:w w:val="100"/>
          <w:spacing w:val="0"/>
          <w:color w:val="000000"/>
          <w:position w:val="0"/>
        </w:rPr>
        <w:t>Члены Комиссии:</w:t>
        <w:tab/>
        <w:t>Т.С. Акопян,</w:t>
      </w:r>
    </w:p>
    <w:p>
      <w:pPr>
        <w:pStyle w:val="Style18"/>
        <w:widowControl w:val="0"/>
        <w:keepNext w:val="0"/>
        <w:keepLines w:val="0"/>
        <w:shd w:val="clear" w:color="auto" w:fill="auto"/>
        <w:bidi w:val="0"/>
        <w:jc w:val="left"/>
        <w:spacing w:before="0" w:after="290" w:line="230" w:lineRule="exact"/>
        <w:ind w:left="8040" w:right="0" w:firstLine="0"/>
      </w:pPr>
      <w:r>
        <w:rPr>
          <w:lang w:val="ru-RU" w:eastAsia="ru-RU" w:bidi="ru-RU"/>
          <w:w w:val="100"/>
          <w:spacing w:val="0"/>
          <w:color w:val="000000"/>
          <w:position w:val="0"/>
        </w:rPr>
        <w:t>Е.А. Черняк,</w:t>
      </w:r>
    </w:p>
    <w:p>
      <w:pPr>
        <w:pStyle w:val="Style18"/>
        <w:widowControl w:val="0"/>
        <w:keepNext w:val="0"/>
        <w:keepLines w:val="0"/>
        <w:shd w:val="clear" w:color="auto" w:fill="auto"/>
        <w:bidi w:val="0"/>
        <w:spacing w:before="0" w:after="370" w:line="317" w:lineRule="exact"/>
        <w:ind w:left="0" w:right="20" w:firstLine="740"/>
      </w:pPr>
      <w:r>
        <w:rPr>
          <w:lang w:val="ru-RU" w:eastAsia="ru-RU" w:bidi="ru-RU"/>
          <w:w w:val="100"/>
          <w:spacing w:val="0"/>
          <w:color w:val="000000"/>
          <w:position w:val="0"/>
        </w:rPr>
        <w:t>на основании решения от 07.11.2017 по делам №№ 2146/03, 2147/03, 2172/03 о нарушении Заказчиком ч. 1 ст. 64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аукционной комиссией Заказчика ч. 5 ст. 67 Закона при проведении электронного аукциона № 0358300102017000039 «Закупка работ по объекту: «Замена окон и дверей в здании МБУЗ «ЦРБ» Милютинского района, расположенного по адресу: Ростовская область, ст. Мшпотинская, ул. Гагарина,24» (далее - аукцион).</w:t>
      </w:r>
    </w:p>
    <w:p>
      <w:pPr>
        <w:pStyle w:val="Style6"/>
        <w:widowControl w:val="0"/>
        <w:keepNext w:val="0"/>
        <w:keepLines w:val="0"/>
        <w:shd w:val="clear" w:color="auto" w:fill="auto"/>
        <w:bidi w:val="0"/>
        <w:spacing w:before="0" w:after="377" w:line="230" w:lineRule="exact"/>
        <w:ind w:left="0" w:right="60" w:firstLine="0"/>
      </w:pPr>
      <w:r>
        <w:rPr>
          <w:lang w:val="ru-RU" w:eastAsia="ru-RU" w:bidi="ru-RU"/>
          <w:w w:val="100"/>
          <w:spacing w:val="0"/>
          <w:color w:val="000000"/>
          <w:position w:val="0"/>
        </w:rPr>
        <w:t>ПРЕДПИСЫВАЕТ:</w:t>
      </w:r>
    </w:p>
    <w:p>
      <w:pPr>
        <w:pStyle w:val="Style18"/>
        <w:widowControl w:val="0"/>
        <w:keepNext w:val="0"/>
        <w:keepLines w:val="0"/>
        <w:shd w:val="clear" w:color="auto" w:fill="auto"/>
        <w:bidi w:val="0"/>
        <w:spacing w:before="0" w:after="21" w:line="230" w:lineRule="exact"/>
        <w:ind w:left="0" w:right="0" w:firstLine="74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26"/>
        <w:framePr w:h="340" w:wrap="notBeside" w:vAnchor="text" w:hAnchor="margin" w:x="8819" w:y="845"/>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009771</w:t>
      </w:r>
    </w:p>
    <w:p>
      <w:pPr>
        <w:pStyle w:val="Style18"/>
        <w:numPr>
          <w:ilvl w:val="0"/>
          <w:numId w:val="21"/>
        </w:numPr>
        <w:tabs>
          <w:tab w:leader="none" w:pos="1060" w:val="left"/>
        </w:tabs>
        <w:widowControl w:val="0"/>
        <w:keepNext w:val="0"/>
        <w:keepLines w:val="0"/>
        <w:shd w:val="clear" w:color="auto" w:fill="auto"/>
        <w:bidi w:val="0"/>
        <w:spacing w:before="0" w:after="0" w:line="230" w:lineRule="exact"/>
        <w:ind w:left="0" w:right="0" w:firstLine="740"/>
        <w:sectPr>
          <w:type w:val="continuous"/>
          <w:pgSz w:w="11906" w:h="16838"/>
          <w:pgMar w:top="441" w:left="942" w:right="776" w:bottom="1341" w:header="0" w:footer="3" w:gutter="0"/>
          <w:rtlGutter w:val="0"/>
          <w:cols w:space="720"/>
          <w:noEndnote/>
          <w:docGrid w:linePitch="360"/>
        </w:sectPr>
      </w:pPr>
      <w:r>
        <w:rPr>
          <w:lang w:val="ru-RU" w:eastAsia="ru-RU" w:bidi="ru-RU"/>
          <w:w w:val="100"/>
          <w:spacing w:val="0"/>
          <w:color w:val="000000"/>
          <w:position w:val="0"/>
        </w:rPr>
        <w:t>Отменить все протоколы, сформированные в рамках закупки, в том числе:</w:t>
      </w:r>
    </w:p>
    <w:p>
      <w:pPr>
        <w:pStyle w:val="Style50"/>
        <w:widowControl w:val="0"/>
        <w:keepNext w:val="0"/>
        <w:keepLines w:val="0"/>
        <w:shd w:val="clear" w:color="auto" w:fill="auto"/>
        <w:bidi w:val="0"/>
        <w:jc w:val="left"/>
        <w:spacing w:before="0" w:after="0" w:line="360" w:lineRule="exact"/>
        <w:ind w:left="0" w:right="0" w:firstLine="0"/>
        <w:sectPr>
          <w:pgSz w:w="11906" w:h="16838"/>
          <w:pgMar w:top="1813" w:left="6379" w:right="4896" w:bottom="13617" w:header="0" w:footer="3" w:gutter="0"/>
          <w:rtlGutter w:val="0"/>
          <w:cols w:space="720"/>
          <w:noEndnote/>
          <w:docGrid w:linePitch="360"/>
        </w:sectPr>
      </w:pPr>
      <w:r>
        <w:rPr>
          <w:w w:val="100"/>
          <w:spacing w:val="0"/>
          <w:color w:val="000000"/>
          <w:position w:val="0"/>
        </w:rPr>
        <w:t>J</w:t>
      </w:r>
    </w:p>
    <w:p>
      <w:pPr>
        <w:pStyle w:val="Style18"/>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Протокол рассмотрения заявок на участие в электронном аукционе от 03.11.2017 №0358300102017000039-1.</w:t>
      </w:r>
    </w:p>
    <w:p>
      <w:pPr>
        <w:pStyle w:val="Style18"/>
        <w:numPr>
          <w:ilvl w:val="0"/>
          <w:numId w:val="21"/>
        </w:numPr>
        <w:tabs>
          <w:tab w:leader="none" w:pos="1018" w:val="left"/>
        </w:tabs>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Аннулировать настоящую закупку.</w:t>
      </w:r>
    </w:p>
    <w:p>
      <w:pPr>
        <w:pStyle w:val="Style18"/>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8"/>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Предписание должно быть исполнено </w:t>
      </w:r>
      <w:r>
        <w:rPr>
          <w:rStyle w:val="CharStyle52"/>
        </w:rPr>
        <w:t>в срок до 29.11.2017.</w:t>
      </w:r>
    </w:p>
    <w:p>
      <w:pPr>
        <w:pStyle w:val="Style18"/>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Об исполнении настоящего предписания </w:t>
      </w:r>
      <w:r>
        <w:rPr>
          <w:rStyle w:val="CharStyle52"/>
        </w:rPr>
        <w:t>в срок до 30.11.2017</w:t>
      </w:r>
      <w:r>
        <w:rPr>
          <w:rStyle w:val="CharStyle53"/>
        </w:rPr>
        <w:t xml:space="preserve">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rStyle w:val="CharStyle42"/>
        </w:rPr>
        <w:instrText> HYPERLINK "mailto:to61-chernyak@fas.gov.ru" </w:instrText>
      </w:r>
      <w:r>
        <w:fldChar w:fldCharType="separate"/>
      </w:r>
      <w:r>
        <w:rPr>
          <w:rStyle w:val="Hyperlink"/>
          <w:lang w:val="en-US" w:eastAsia="en-US" w:bidi="en-US"/>
        </w:rPr>
        <w:t>to61-chernyak@fas.gov.ru</w:t>
      </w:r>
      <w:r>
        <w:fldChar w:fldCharType="end"/>
      </w:r>
      <w:r>
        <w:rPr>
          <w:rStyle w:val="CharStyle42"/>
          <w:lang w:val="en-US" w:eastAsia="en-US" w:bidi="en-US"/>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8"/>
        <w:widowControl w:val="0"/>
        <w:keepNext w:val="0"/>
        <w:keepLines w:val="0"/>
        <w:shd w:val="clear" w:color="auto" w:fill="auto"/>
        <w:bidi w:val="0"/>
        <w:spacing w:before="0" w:after="312" w:line="317" w:lineRule="exact"/>
        <w:ind w:left="0" w:right="0" w:firstLine="720"/>
      </w:pPr>
      <w:r>
        <w:rPr>
          <w:lang w:val="ru-RU" w:eastAsia="ru-RU" w:bidi="ru-RU"/>
          <w:w w:val="100"/>
          <w:spacing w:val="0"/>
          <w:color w:val="000000"/>
          <w:position w:val="0"/>
        </w:rPr>
        <w:t>Контроль за исполнением предписания возложить на Е.А. Черняк.</w:t>
      </w:r>
    </w:p>
    <w:p>
      <w:pPr>
        <w:pStyle w:val="Style23"/>
        <w:widowControl w:val="0"/>
        <w:keepNext w:val="0"/>
        <w:keepLines w:val="0"/>
        <w:shd w:val="clear" w:color="auto" w:fill="auto"/>
        <w:bidi w:val="0"/>
        <w:jc w:val="both"/>
        <w:spacing w:before="0" w:after="0" w:line="227" w:lineRule="exact"/>
        <w:ind w:left="0" w:right="0" w:firstLine="720"/>
        <w:sectPr>
          <w:pgSz w:w="11906" w:h="16838"/>
          <w:pgMar w:top="634" w:left="848" w:right="848" w:bottom="5310"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23" w:wrap="around" w:vAnchor="text" w:hAnchor="margin" w:x="8243" w:y="16"/>
        <w:widowControl w:val="0"/>
        <w:keepNext w:val="0"/>
        <w:keepLines w:val="0"/>
        <w:shd w:val="clear" w:color="auto" w:fill="auto"/>
        <w:bidi w:val="0"/>
        <w:jc w:val="left"/>
        <w:spacing w:before="0" w:after="0" w:line="220" w:lineRule="exact"/>
        <w:ind w:left="100" w:right="0" w:firstLine="0"/>
      </w:pPr>
      <w:r>
        <w:rPr>
          <w:rStyle w:val="CharStyle54"/>
          <w:spacing w:val="0"/>
        </w:rPr>
        <w:t>К.А. Коренченко</w:t>
      </w:r>
    </w:p>
    <w:p>
      <w:pPr>
        <w:pStyle w:val="Style18"/>
        <w:widowControl w:val="0"/>
        <w:keepNext w:val="0"/>
        <w:keepLines w:val="0"/>
        <w:shd w:val="clear" w:color="auto" w:fill="auto"/>
        <w:bidi w:val="0"/>
        <w:jc w:val="left"/>
        <w:spacing w:before="0" w:after="963" w:line="230" w:lineRule="exact"/>
        <w:ind w:left="0" w:right="0" w:firstLine="0"/>
      </w:pPr>
      <w:r>
        <w:rPr>
          <w:lang w:val="ru-RU" w:eastAsia="ru-RU" w:bidi="ru-RU"/>
          <w:w w:val="100"/>
          <w:spacing w:val="0"/>
          <w:color w:val="000000"/>
          <w:position w:val="0"/>
        </w:rPr>
        <w:t>Председатель Комиссии:</w:t>
      </w:r>
    </w:p>
    <w:p>
      <w:pPr>
        <w:pStyle w:val="Style18"/>
        <w:widowControl w:val="0"/>
        <w:keepNext w:val="0"/>
        <w:keepLines w:val="0"/>
        <w:shd w:val="clear" w:color="auto" w:fill="auto"/>
        <w:bidi w:val="0"/>
        <w:jc w:val="left"/>
        <w:spacing w:before="0" w:after="0" w:line="230" w:lineRule="exact"/>
        <w:ind w:left="0" w:right="0" w:firstLine="0"/>
        <w:sectPr>
          <w:type w:val="continuous"/>
          <w:pgSz w:w="11906" w:h="16838"/>
          <w:pgMar w:top="634" w:left="848" w:right="8167" w:bottom="5310"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5"/>
        <w:widowControl w:val="0"/>
        <w:keepNext w:val="0"/>
        <w:keepLines w:val="0"/>
        <w:shd w:val="clear" w:color="auto" w:fill="auto"/>
        <w:bidi w:val="0"/>
        <w:jc w:val="left"/>
        <w:spacing w:before="214" w:after="0" w:line="158" w:lineRule="exact"/>
        <w:ind w:left="0" w:right="0" w:firstLine="0"/>
      </w:pPr>
      <w:r>
        <w:rPr>
          <w:lang w:val="ru-RU" w:eastAsia="ru-RU" w:bidi="ru-RU"/>
          <w:w w:val="100"/>
          <w:spacing w:val="0"/>
          <w:color w:val="000000"/>
          <w:position w:val="0"/>
        </w:rPr>
        <w:t>Исп. Черняк Е.А.</w:t>
      </w:r>
    </w:p>
    <w:p>
      <w:pPr>
        <w:pStyle w:val="Style45"/>
        <w:widowControl w:val="0"/>
        <w:keepNext w:val="0"/>
        <w:keepLines w:val="0"/>
        <w:shd w:val="clear" w:color="auto" w:fill="auto"/>
        <w:bidi w:val="0"/>
        <w:jc w:val="left"/>
        <w:spacing w:before="0" w:after="0" w:line="158" w:lineRule="exact"/>
        <w:ind w:left="0" w:right="8040" w:firstLine="0"/>
        <w:sectPr>
          <w:type w:val="continuous"/>
          <w:pgSz w:w="11906" w:h="16838"/>
          <w:pgMar w:top="634" w:left="863" w:right="1482" w:bottom="5310" w:header="0" w:footer="3" w:gutter="0"/>
          <w:rtlGutter w:val="0"/>
          <w:cols w:space="720"/>
          <w:noEndnote/>
          <w:docGrid w:linePitch="360"/>
        </w:sectPr>
      </w:pPr>
      <w:r>
        <w:rPr>
          <w:lang w:val="ru-RU" w:eastAsia="ru-RU" w:bidi="ru-RU"/>
          <w:w w:val="100"/>
          <w:spacing w:val="0"/>
          <w:color w:val="000000"/>
          <w:position w:val="0"/>
        </w:rPr>
        <w:t xml:space="preserve">Тел.: (863) 240-86-88 Юб 1 </w:t>
      </w:r>
      <w:r>
        <w:rPr>
          <w:lang w:val="en-US" w:eastAsia="en-US" w:bidi="en-US"/>
          <w:w w:val="100"/>
          <w:spacing w:val="0"/>
          <w:color w:val="000000"/>
          <w:position w:val="0"/>
        </w:rPr>
        <w:t>-</w:t>
      </w:r>
      <w:r>
        <w:fldChar w:fldCharType="begin"/>
      </w:r>
      <w:r>
        <w:rPr>
          <w:color w:val="000000"/>
        </w:rPr>
        <w:instrText> HYPERLINK "mailto:chemyak@fas.gov" </w:instrText>
      </w:r>
      <w:r>
        <w:fldChar w:fldCharType="separate"/>
      </w:r>
      <w:r>
        <w:rPr>
          <w:rStyle w:val="Hyperlink"/>
          <w:lang w:val="en-US" w:eastAsia="en-US" w:bidi="en-US"/>
          <w:w w:val="100"/>
          <w:spacing w:val="0"/>
          <w:position w:val="0"/>
        </w:rPr>
        <w:t>chemyak@fas.gov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w:t>
      </w:r>
    </w:p>
    <w:p>
      <w:pPr>
        <w:pStyle w:val="Style55"/>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-о</w:t>
      </w:r>
    </w:p>
    <w:sectPr>
      <w:pgSz w:w="11906" w:h="16838"/>
      <w:pgMar w:top="2398" w:left="5744" w:right="5715" w:bottom="140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7.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6.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07.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lang w:val="en-US" w:eastAsia="en-US" w:bidi="en-US"/>
      <w:b w:val="0"/>
      <w:bCs w:val="0"/>
      <w:i w:val="0"/>
      <w:iCs w:val="0"/>
      <w:u w:val="none"/>
      <w:strike w:val="0"/>
      <w:smallCaps w:val="0"/>
      <w:sz w:val="26"/>
      <w:szCs w:val="26"/>
      <w:rFonts w:ascii="Bookman Old Style" w:eastAsia="Bookman Old Style" w:hAnsi="Bookman Old Style" w:cs="Bookman Old Style"/>
      <w:spacing w:val="-30"/>
    </w:rPr>
  </w:style>
  <w:style w:type="character" w:customStyle="1" w:styleId="CharStyle14">
    <w:name w:val="Заголовок №1"/>
    <w:basedOn w:val="CharStyle13"/>
    <w:rPr>
      <w:u w:val="single"/>
      <w:w w:val="100"/>
      <w:color w:val="000000"/>
      <w:position w:val="0"/>
    </w:rPr>
  </w:style>
  <w:style w:type="character" w:customStyle="1" w:styleId="CharStyle15">
    <w:name w:val="Заголовок №1 + Trebuchet MS,11,5 pt,Курсив,Интервал -1 pt"/>
    <w:basedOn w:val="CharStyle13"/>
    <w:rPr>
      <w:i/>
      <w:iCs/>
      <w:u w:val="single"/>
      <w:sz w:val="23"/>
      <w:szCs w:val="23"/>
      <w:rFonts w:ascii="Trebuchet MS" w:eastAsia="Trebuchet MS" w:hAnsi="Trebuchet MS" w:cs="Trebuchet MS"/>
      <w:w w:val="100"/>
      <w:spacing w:val="-20"/>
      <w:color w:val="000000"/>
      <w:position w:val="0"/>
    </w:rPr>
  </w:style>
  <w:style w:type="character" w:customStyle="1" w:styleId="CharStyle16">
    <w:name w:val="Заголовок №1"/>
    <w:basedOn w:val="CharStyle13"/>
    <w:rPr>
      <w:w w:val="100"/>
      <w:color w:val="000000"/>
      <w:position w:val="0"/>
    </w:rPr>
  </w:style>
  <w:style w:type="character" w:customStyle="1" w:styleId="CharStyle17">
    <w:name w:val="Заголовок №1"/>
    <w:basedOn w:val="CharStyle13"/>
    <w:rPr>
      <w:lang w:val="ru-RU" w:eastAsia="ru-RU" w:bidi="ru-RU"/>
      <w:w w:val="10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w:basedOn w:val="CharStyle19"/>
    <w:rPr>
      <w:lang w:val="ru-RU" w:eastAsia="ru-RU" w:bidi="ru-RU"/>
      <w:w w:val="100"/>
      <w:spacing w:val="0"/>
      <w:color w:val="000000"/>
      <w:position w:val="0"/>
    </w:rPr>
  </w:style>
  <w:style w:type="character" w:customStyle="1" w:styleId="CharStyle22">
    <w:name w:val="Основной текст (5)_"/>
    <w:basedOn w:val="DefaultParagraphFont"/>
    <w:link w:val="Style21"/>
    <w:rPr>
      <w:b/>
      <w:bCs/>
      <w:i w:val="0"/>
      <w:iCs w:val="0"/>
      <w:u w:val="none"/>
      <w:strike w:val="0"/>
      <w:smallCaps w:val="0"/>
      <w:sz w:val="21"/>
      <w:szCs w:val="21"/>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6) + Курсив"/>
    <w:basedOn w:val="CharStyle24"/>
    <w:rPr>
      <w:lang w:val="en-US" w:eastAsia="en-US" w:bidi="en-US"/>
      <w:i/>
      <w:iCs/>
      <w:w w:val="100"/>
      <w:spacing w:val="0"/>
      <w:color w:val="000000"/>
      <w:position w:val="0"/>
    </w:rPr>
  </w:style>
  <w:style w:type="character" w:customStyle="1" w:styleId="CharStyle27">
    <w:name w:val="Основной текст (7) Exact"/>
    <w:basedOn w:val="DefaultParagraphFont"/>
    <w:link w:val="Style26"/>
    <w:rPr>
      <w:b w:val="0"/>
      <w:bCs w:val="0"/>
      <w:i w:val="0"/>
      <w:iCs w:val="0"/>
      <w:u w:val="none"/>
      <w:strike w:val="0"/>
      <w:smallCaps w:val="0"/>
      <w:sz w:val="34"/>
      <w:szCs w:val="34"/>
      <w:rFonts w:ascii="Times New Roman" w:eastAsia="Times New Roman" w:hAnsi="Times New Roman" w:cs="Times New Roman"/>
      <w:spacing w:val="-4"/>
    </w:rPr>
  </w:style>
  <w:style w:type="character" w:customStyle="1" w:styleId="CharStyle28">
    <w:name w:val="Основной текст + 10 pt"/>
    <w:basedOn w:val="CharStyle19"/>
    <w:rPr>
      <w:lang w:val="ru-RU" w:eastAsia="ru-RU" w:bidi="ru-RU"/>
      <w:sz w:val="20"/>
      <w:szCs w:val="20"/>
      <w:w w:val="100"/>
      <w:spacing w:val="0"/>
      <w:color w:val="000000"/>
      <w:position w:val="0"/>
    </w:rPr>
  </w:style>
  <w:style w:type="character" w:customStyle="1" w:styleId="CharStyle30">
    <w:name w:val="Заголовок №2_"/>
    <w:basedOn w:val="DefaultParagraphFont"/>
    <w:link w:val="Style29"/>
    <w:rPr>
      <w:b/>
      <w:bCs/>
      <w:i w:val="0"/>
      <w:iCs w:val="0"/>
      <w:u w:val="none"/>
      <w:strike w:val="0"/>
      <w:smallCaps w:val="0"/>
      <w:sz w:val="21"/>
      <w:szCs w:val="21"/>
      <w:rFonts w:ascii="Times New Roman" w:eastAsia="Times New Roman" w:hAnsi="Times New Roman" w:cs="Times New Roman"/>
    </w:rPr>
  </w:style>
  <w:style w:type="character" w:customStyle="1" w:styleId="CharStyle31">
    <w:name w:val="Основной текст + 9 pt"/>
    <w:basedOn w:val="CharStyle19"/>
    <w:rPr>
      <w:lang w:val="ru-RU" w:eastAsia="ru-RU" w:bidi="ru-RU"/>
      <w:sz w:val="18"/>
      <w:szCs w:val="18"/>
      <w:w w:val="100"/>
      <w:spacing w:val="0"/>
      <w:color w:val="000000"/>
      <w:position w:val="0"/>
    </w:rPr>
  </w:style>
  <w:style w:type="character" w:customStyle="1" w:styleId="CharStyle32">
    <w:name w:val="Основной текст"/>
    <w:basedOn w:val="CharStyle19"/>
    <w:rPr>
      <w:lang w:val="ru-RU" w:eastAsia="ru-RU" w:bidi="ru-RU"/>
      <w:w w:val="100"/>
      <w:spacing w:val="0"/>
      <w:color w:val="000000"/>
      <w:position w:val="0"/>
    </w:rPr>
  </w:style>
  <w:style w:type="character" w:customStyle="1" w:styleId="CharStyle34">
    <w:name w:val="Основной текст (8)_"/>
    <w:basedOn w:val="DefaultParagraphFont"/>
    <w:link w:val="Style33"/>
    <w:rPr>
      <w:b w:val="0"/>
      <w:bCs w:val="0"/>
      <w:i/>
      <w:iCs/>
      <w:u w:val="none"/>
      <w:strike w:val="0"/>
      <w:smallCaps w:val="0"/>
      <w:sz w:val="23"/>
      <w:szCs w:val="23"/>
      <w:rFonts w:ascii="Times New Roman" w:eastAsia="Times New Roman" w:hAnsi="Times New Roman" w:cs="Times New Roman"/>
    </w:rPr>
  </w:style>
  <w:style w:type="character" w:customStyle="1" w:styleId="CharStyle35">
    <w:name w:val="Основной текст (8) + Не курсив"/>
    <w:basedOn w:val="CharStyle34"/>
    <w:rPr>
      <w:lang w:val="ru-RU" w:eastAsia="ru-RU" w:bidi="ru-RU"/>
      <w:i/>
      <w:iCs/>
      <w:w w:val="100"/>
      <w:spacing w:val="0"/>
      <w:color w:val="000000"/>
      <w:position w:val="0"/>
    </w:rPr>
  </w:style>
  <w:style w:type="character" w:customStyle="1" w:styleId="CharStyle37">
    <w:name w:val="Основной текст (9)_"/>
    <w:basedOn w:val="DefaultParagraphFont"/>
    <w:link w:val="Style36"/>
    <w:rPr>
      <w:b w:val="0"/>
      <w:bCs w:val="0"/>
      <w:i w:val="0"/>
      <w:iCs w:val="0"/>
      <w:u w:val="none"/>
      <w:strike w:val="0"/>
      <w:smallCaps w:val="0"/>
      <w:sz w:val="13"/>
      <w:szCs w:val="13"/>
      <w:rFonts w:ascii="Times New Roman" w:eastAsia="Times New Roman" w:hAnsi="Times New Roman" w:cs="Times New Roman"/>
    </w:rPr>
  </w:style>
  <w:style w:type="character" w:customStyle="1" w:styleId="CharStyle38">
    <w:name w:val="Основной текст"/>
    <w:basedOn w:val="CharStyle19"/>
    <w:rPr>
      <w:lang w:val="ru-RU" w:eastAsia="ru-RU" w:bidi="ru-RU"/>
      <w:w w:val="100"/>
      <w:spacing w:val="0"/>
      <w:color w:val="000000"/>
      <w:position w:val="0"/>
    </w:rPr>
  </w:style>
  <w:style w:type="character" w:customStyle="1" w:styleId="CharStyle39">
    <w:name w:val="Основной текст"/>
    <w:basedOn w:val="CharStyle19"/>
    <w:rPr>
      <w:lang w:val="ru-RU" w:eastAsia="ru-RU" w:bidi="ru-RU"/>
      <w:u w:val="single"/>
      <w:w w:val="100"/>
      <w:spacing w:val="0"/>
      <w:color w:val="000000"/>
      <w:position w:val="0"/>
    </w:rPr>
  </w:style>
  <w:style w:type="character" w:customStyle="1" w:styleId="CharStyle41">
    <w:name w:val="Основной текст (10)_"/>
    <w:basedOn w:val="DefaultParagraphFont"/>
    <w:link w:val="Style40"/>
    <w:rPr>
      <w:b w:val="0"/>
      <w:bCs w:val="0"/>
      <w:i w:val="0"/>
      <w:iCs w:val="0"/>
      <w:u w:val="none"/>
      <w:strike w:val="0"/>
      <w:smallCaps w:val="0"/>
      <w:sz w:val="18"/>
      <w:szCs w:val="18"/>
      <w:rFonts w:ascii="Times New Roman" w:eastAsia="Times New Roman" w:hAnsi="Times New Roman" w:cs="Times New Roman"/>
    </w:rPr>
  </w:style>
  <w:style w:type="character" w:customStyle="1" w:styleId="CharStyle42">
    <w:name w:val="Основной текст + Курсив"/>
    <w:basedOn w:val="CharStyle19"/>
    <w:rPr>
      <w:lang w:val="ru-RU" w:eastAsia="ru-RU" w:bidi="ru-RU"/>
      <w:i/>
      <w:iCs/>
      <w:w w:val="100"/>
      <w:spacing w:val="0"/>
      <w:color w:val="000000"/>
      <w:position w:val="0"/>
    </w:rPr>
  </w:style>
  <w:style w:type="character" w:customStyle="1" w:styleId="CharStyle43">
    <w:name w:val="Основной текст + 11 pt,Курсив,Интервал -1 pt"/>
    <w:basedOn w:val="CharStyle19"/>
    <w:rPr>
      <w:lang w:val="ru-RU" w:eastAsia="ru-RU" w:bidi="ru-RU"/>
      <w:i/>
      <w:iCs/>
      <w:sz w:val="22"/>
      <w:szCs w:val="22"/>
      <w:w w:val="100"/>
      <w:spacing w:val="-20"/>
      <w:color w:val="000000"/>
      <w:position w:val="0"/>
    </w:rPr>
  </w:style>
  <w:style w:type="character" w:customStyle="1" w:styleId="CharStyle44">
    <w:name w:val="Основной текст + 7 pt"/>
    <w:basedOn w:val="CharStyle19"/>
    <w:rPr>
      <w:lang w:val="ru-RU" w:eastAsia="ru-RU" w:bidi="ru-RU"/>
      <w:sz w:val="14"/>
      <w:szCs w:val="14"/>
      <w:w w:val="100"/>
      <w:spacing w:val="0"/>
      <w:color w:val="000000"/>
      <w:position w:val="0"/>
    </w:rPr>
  </w:style>
  <w:style w:type="character" w:customStyle="1" w:styleId="CharStyle46">
    <w:name w:val="Основной текст (11)_"/>
    <w:basedOn w:val="DefaultParagraphFont"/>
    <w:link w:val="Style45"/>
    <w:rPr>
      <w:b w:val="0"/>
      <w:bCs w:val="0"/>
      <w:i/>
      <w:iCs/>
      <w:u w:val="none"/>
      <w:strike w:val="0"/>
      <w:smallCaps w:val="0"/>
      <w:sz w:val="13"/>
      <w:szCs w:val="13"/>
      <w:rFonts w:ascii="Times New Roman" w:eastAsia="Times New Roman" w:hAnsi="Times New Roman" w:cs="Times New Roman"/>
    </w:rPr>
  </w:style>
  <w:style w:type="character" w:customStyle="1" w:styleId="CharStyle47">
    <w:name w:val="Основной текст (6)"/>
    <w:basedOn w:val="CharStyle24"/>
    <w:rPr>
      <w:lang w:val="ru-RU" w:eastAsia="ru-RU" w:bidi="ru-RU"/>
      <w:w w:val="100"/>
      <w:spacing w:val="0"/>
      <w:color w:val="000000"/>
      <w:position w:val="0"/>
    </w:rPr>
  </w:style>
  <w:style w:type="character" w:customStyle="1" w:styleId="CharStyle48">
    <w:name w:val="Основной текст (3)"/>
    <w:basedOn w:val="CharStyle7"/>
    <w:rPr>
      <w:lang w:val="ru-RU" w:eastAsia="ru-RU" w:bidi="ru-RU"/>
      <w:u w:val="single"/>
      <w:w w:val="100"/>
      <w:spacing w:val="0"/>
      <w:color w:val="000000"/>
      <w:position w:val="0"/>
    </w:rPr>
  </w:style>
  <w:style w:type="character" w:customStyle="1" w:styleId="CharStyle49">
    <w:name w:val="Основной текст (3)"/>
    <w:basedOn w:val="CharStyle7"/>
    <w:rPr>
      <w:lang w:val="ru-RU" w:eastAsia="ru-RU" w:bidi="ru-RU"/>
      <w:u w:val="single"/>
      <w:w w:val="100"/>
      <w:spacing w:val="0"/>
      <w:color w:val="000000"/>
      <w:position w:val="0"/>
    </w:rPr>
  </w:style>
  <w:style w:type="character" w:customStyle="1" w:styleId="CharStyle51">
    <w:name w:val="Основной текст (12)_"/>
    <w:basedOn w:val="DefaultParagraphFont"/>
    <w:link w:val="Style50"/>
    <w:rPr>
      <w:lang w:val="en-US" w:eastAsia="en-US" w:bidi="en-US"/>
      <w:b/>
      <w:bCs/>
      <w:i w:val="0"/>
      <w:iCs w:val="0"/>
      <w:u w:val="none"/>
      <w:strike w:val="0"/>
      <w:smallCaps w:val="0"/>
      <w:sz w:val="36"/>
      <w:szCs w:val="36"/>
      <w:rFonts w:ascii="Bookman Old Style" w:eastAsia="Bookman Old Style" w:hAnsi="Bookman Old Style" w:cs="Bookman Old Style"/>
    </w:rPr>
  </w:style>
  <w:style w:type="character" w:customStyle="1" w:styleId="CharStyle52">
    <w:name w:val="Основной текст + Полужирный"/>
    <w:basedOn w:val="CharStyle19"/>
    <w:rPr>
      <w:lang w:val="ru-RU" w:eastAsia="ru-RU" w:bidi="ru-RU"/>
      <w:b/>
      <w:bCs/>
      <w:u w:val="single"/>
      <w:w w:val="100"/>
      <w:spacing w:val="0"/>
      <w:color w:val="000000"/>
      <w:position w:val="0"/>
    </w:rPr>
  </w:style>
  <w:style w:type="character" w:customStyle="1" w:styleId="CharStyle53">
    <w:name w:val="Основной текст + Полужирный"/>
    <w:basedOn w:val="CharStyle19"/>
    <w:rPr>
      <w:lang w:val="ru-RU" w:eastAsia="ru-RU" w:bidi="ru-RU"/>
      <w:b/>
      <w:bCs/>
      <w:w w:val="100"/>
      <w:spacing w:val="0"/>
      <w:color w:val="000000"/>
      <w:position w:val="0"/>
    </w:rPr>
  </w:style>
  <w:style w:type="character" w:customStyle="1" w:styleId="CharStyle5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56">
    <w:name w:val="Основной текст (13)_"/>
    <w:basedOn w:val="DefaultParagraphFont"/>
    <w:link w:val="Style55"/>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300" w:after="360" w:line="0" w:lineRule="exact"/>
    </w:pPr>
    <w:rPr>
      <w:lang w:val="en-US" w:eastAsia="en-US" w:bidi="en-US"/>
      <w:b w:val="0"/>
      <w:bCs w:val="0"/>
      <w:i w:val="0"/>
      <w:iCs w:val="0"/>
      <w:u w:val="none"/>
      <w:strike w:val="0"/>
      <w:smallCaps w:val="0"/>
      <w:sz w:val="26"/>
      <w:szCs w:val="26"/>
      <w:rFonts w:ascii="Bookman Old Style" w:eastAsia="Bookman Old Style" w:hAnsi="Bookman Old Style" w:cs="Bookman Old Style"/>
      <w:spacing w:val="-30"/>
    </w:rPr>
  </w:style>
  <w:style w:type="paragraph" w:customStyle="1" w:styleId="Style18">
    <w:name w:val="Основной текст"/>
    <w:basedOn w:val="Normal"/>
    <w:link w:val="CharStyle19"/>
    <w:pPr>
      <w:widowControl w:val="0"/>
      <w:shd w:val="clear" w:color="auto" w:fill="FFFFFF"/>
      <w:jc w:val="both"/>
      <w:spacing w:before="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256" w:lineRule="exact"/>
    </w:pPr>
    <w:rPr>
      <w:b/>
      <w:bCs/>
      <w:i w:val="0"/>
      <w:iCs w:val="0"/>
      <w:u w:val="none"/>
      <w:strike w:val="0"/>
      <w:smallCaps w:val="0"/>
      <w:sz w:val="21"/>
      <w:szCs w:val="21"/>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line="256"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4"/>
    </w:rPr>
  </w:style>
  <w:style w:type="paragraph" w:customStyle="1" w:styleId="Style29">
    <w:name w:val="Заголовок №2"/>
    <w:basedOn w:val="Normal"/>
    <w:link w:val="CharStyle30"/>
    <w:pPr>
      <w:widowControl w:val="0"/>
      <w:shd w:val="clear" w:color="auto" w:fill="FFFFFF"/>
      <w:jc w:val="center"/>
      <w:outlineLvl w:val="1"/>
      <w:spacing w:before="300" w:after="42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before="300" w:line="313" w:lineRule="exact"/>
      <w:ind w:firstLine="700"/>
    </w:pPr>
    <w:rPr>
      <w:b w:val="0"/>
      <w:bCs w:val="0"/>
      <w:i/>
      <w:iCs/>
      <w:u w:val="none"/>
      <w:strike w:val="0"/>
      <w:smallCaps w:val="0"/>
      <w:sz w:val="23"/>
      <w:szCs w:val="23"/>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jc w:val="both"/>
      <w:spacing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jc w:val="center"/>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45">
    <w:name w:val="Основной текст (11)"/>
    <w:basedOn w:val="Normal"/>
    <w:link w:val="CharStyle46"/>
    <w:pPr>
      <w:widowControl w:val="0"/>
      <w:shd w:val="clear" w:color="auto" w:fill="FFFFFF"/>
      <w:spacing w:before="420" w:line="162" w:lineRule="exact"/>
    </w:pPr>
    <w:rPr>
      <w:b w:val="0"/>
      <w:bCs w:val="0"/>
      <w:i/>
      <w:iCs/>
      <w:u w:val="none"/>
      <w:strike w:val="0"/>
      <w:smallCaps w:val="0"/>
      <w:sz w:val="13"/>
      <w:szCs w:val="13"/>
      <w:rFonts w:ascii="Times New Roman" w:eastAsia="Times New Roman" w:hAnsi="Times New Roman" w:cs="Times New Roman"/>
    </w:rPr>
  </w:style>
  <w:style w:type="paragraph" w:customStyle="1" w:styleId="Style50">
    <w:name w:val="Основной текст (12)"/>
    <w:basedOn w:val="Normal"/>
    <w:link w:val="CharStyle51"/>
    <w:pPr>
      <w:widowControl w:val="0"/>
      <w:shd w:val="clear" w:color="auto" w:fill="FFFFFF"/>
      <w:spacing w:line="0" w:lineRule="exact"/>
    </w:pPr>
    <w:rPr>
      <w:lang w:val="en-US" w:eastAsia="en-US" w:bidi="en-US"/>
      <w:b/>
      <w:bCs/>
      <w:i w:val="0"/>
      <w:iCs w:val="0"/>
      <w:u w:val="none"/>
      <w:strike w:val="0"/>
      <w:smallCaps w:val="0"/>
      <w:sz w:val="36"/>
      <w:szCs w:val="36"/>
      <w:rFonts w:ascii="Bookman Old Style" w:eastAsia="Bookman Old Style" w:hAnsi="Bookman Old Style" w:cs="Bookman Old Style"/>
    </w:rPr>
  </w:style>
  <w:style w:type="paragraph" w:customStyle="1" w:styleId="Style55">
    <w:name w:val="Основной текст (13)"/>
    <w:basedOn w:val="Normal"/>
    <w:link w:val="CharStyle5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