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30" w:wrap="around" w:vAnchor="text" w:hAnchor="margin" w:x="9633" w:y="4156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0" w:firstLine="0"/>
      </w:pPr>
      <w:r>
        <w:rPr>
          <w:w w:val="100"/>
          <w:spacing w:val="0"/>
          <w:color w:val="000000"/>
          <w:position w:val="0"/>
        </w:rPr>
        <w:t>.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326" w:after="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9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2/2. офис 403 г. Ростов-на-Дону. 344006 тел. (863) 263-31-04.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1"/>
        <w:tabs>
          <w:tab w:leader="none" w:pos="2386" w:val="right"/>
          <w:tab w:leader="none" w:pos="3668" w:val="center"/>
        </w:tabs>
        <w:widowControl w:val="0"/>
        <w:keepNext/>
        <w:keepLines/>
        <w:shd w:val="clear" w:color="auto" w:fill="auto"/>
        <w:bidi w:val="0"/>
        <w:spacing w:before="0" w:after="302" w:line="240" w:lineRule="exact"/>
        <w:ind w:left="680" w:right="0" w:firstLine="0"/>
      </w:pPr>
      <w:bookmarkStart w:id="0" w:name="bookmark0"/>
      <w:r>
        <w:rPr>
          <w:rStyle w:val="CharStyle13"/>
          <w:i/>
          <w:iCs/>
        </w:rPr>
        <w:t>3iQ&lt;S./*</w:t>
      </w:r>
      <w:r>
        <w:rPr>
          <w:rStyle w:val="CharStyle14"/>
          <w:lang w:val="en-US" w:eastAsia="en-US" w:bidi="en-US"/>
          <w:i w:val="0"/>
          <w:iCs w:val="0"/>
        </w:rPr>
        <w:tab/>
      </w:r>
      <w:r>
        <w:rPr>
          <w:rStyle w:val="CharStyle14"/>
          <w:i w:val="0"/>
          <w:iCs w:val="0"/>
        </w:rPr>
        <w:t>№</w:t>
        <w:tab/>
      </w:r>
      <w:r>
        <w:rPr>
          <w:rStyle w:val="CharStyle15"/>
          <w:i/>
          <w:iCs/>
        </w:rPr>
        <w:t>Т</w:t>
      </w:r>
      <w:r>
        <w:rPr>
          <w:rStyle w:val="CharStyle16"/>
          <w:i/>
          <w:iCs/>
        </w:rPr>
        <w:t>'-у'оз</w:t>
      </w:r>
      <w:bookmarkEnd w:id="0"/>
    </w:p>
    <w:p>
      <w:pPr>
        <w:pStyle w:val="Style17"/>
        <w:tabs>
          <w:tab w:leader="none" w:pos="2588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Генеральному директору ООО «Андромеда»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Гулевскому С.В.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/>
        <w:ind w:left="0" w:right="46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930" w:left="3436" w:right="4131" w:bottom="4002" w:header="0" w:footer="3" w:gutter="0"/>
          <w:rtlGutter w:val="0"/>
          <w:cols w:num="2" w:space="720" w:equalWidth="0">
            <w:col w:w="4774" w:space="965"/>
            <w:col w:w="3532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344039, г. Ростов-на-Дону, ул. Курская, дом 1, оф. 201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e-mail: info@andromeda.team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ООО «Андромеда» на действия ФГБОУ ВО «ДГТУ» (далее - Заказчик) при проведении электронного аукциона № 0358100011818000066 «Поставка, монтаж и пусто-наладка оборудования ядра сети передачи данных» (далее - аукцион).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ч. 4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- Закон) жалоба на положения документации об электронном аукционе может быть подана любым участником закупки, общественным объединением, объединением юридических лиц до </w:t>
      </w:r>
      <w:r>
        <w:rPr>
          <w:rStyle w:val="CharStyle21"/>
        </w:rPr>
        <w:t>окончания установленного срока подачи заявок.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Дата и время окончания подачи заявок на участие в названном аукционе - 19.06.2018 г. в 08 часов 30 минут, а Вами жалоба подана в Ростовское УФАС России 20.06.2018г.</w:t>
      </w:r>
    </w:p>
    <w:p>
      <w:pPr>
        <w:pStyle w:val="Style19"/>
        <w:tabs>
          <w:tab w:leader="none" w:pos="9524" w:val="righ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 3 ч. 11 ст. 105 Закона жалоба возвращается подавшему ее лицу без рассмотрения в случае, если она подана по истечении срока, предусмотренного настоящей статьей.</w:t>
        <w:tab/>
        <w:t>|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 3 ч. 11 ст. 105 Закона, Ростовским УФАС России принято решение о возврате названной жалобы.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spacing w:before="0" w:after="884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Ростовского УФАС России о возврате жалобы Вы вправе обжаловать в судебном порядке.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34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700" w:firstLine="0"/>
        <w:sectPr>
          <w:type w:val="continuous"/>
          <w:pgSz w:w="16838" w:h="23810"/>
          <w:pgMar w:top="3945" w:left="3767" w:right="3439" w:bottom="401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Джаникян К.Р. тел.: 8(863)-240-8688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«Андромеда» Тел. 8 863 309 15 59 Ростов-на-Дону, ул. Курская 1, оф.201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info@andromeda.team </w:t>
      </w:r>
      <w:r>
        <w:fldChar w:fldCharType="begin"/>
      </w:r>
      <w:r>
        <w:rPr>
          <w:color w:val="000000"/>
        </w:rPr>
        <w:instrText> HYPERLINK "http://www.andromeda.team"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www.andromeda.team</w:t>
      </w:r>
      <w:r>
        <w:fldChar w:fldCharType="end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0" w:right="2360" w:firstLine="0"/>
      </w:pPr>
      <w:r>
        <w:rPr>
          <w:rStyle w:val="CharStyle26"/>
        </w:rPr>
        <w:t xml:space="preserve">ИНН: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6162075650 </w:t>
      </w:r>
      <w:r>
        <w:rPr>
          <w:rStyle w:val="CharStyle26"/>
        </w:rPr>
        <w:t xml:space="preserve">КПП: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616401001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pgSz w:w="16838" w:h="23810"/>
          <w:pgMar w:top="3626" w:left="3497" w:right="4008" w:bottom="3360" w:header="0" w:footer="3" w:gutter="0"/>
          <w:rtlGutter w:val="0"/>
          <w:cols w:num="2" w:space="720" w:equalWidth="0">
            <w:col w:w="3269" w:space="2225"/>
            <w:col w:w="3838"/>
          </w:cols>
          <w:noEndnote/>
          <w:docGrid w:linePitch="360"/>
        </w:sectPr>
      </w:pPr>
      <w:r>
        <w:rPr>
          <w:rStyle w:val="CharStyle29"/>
        </w:rPr>
        <w:t xml:space="preserve">Банк: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Южный филиал АО «Райффайзенбанк» </w:t>
      </w:r>
      <w:r>
        <w:rPr>
          <w:rStyle w:val="CharStyle29"/>
        </w:rPr>
        <w:t xml:space="preserve">Р/с: </w:t>
      </w:r>
      <w:r>
        <w:rPr>
          <w:rStyle w:val="CharStyle30"/>
        </w:rPr>
        <w:t xml:space="preserve">40702810926000007886 </w:t>
      </w:r>
      <w:r>
        <w:rPr>
          <w:rStyle w:val="CharStyle29"/>
        </w:rPr>
        <w:t xml:space="preserve">БИК: </w:t>
      </w:r>
      <w:r>
        <w:rPr>
          <w:rStyle w:val="CharStyle30"/>
        </w:rPr>
        <w:t>040349556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67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19 июня 2018г. № 168-АН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177"/>
        <w:ind w:left="4940" w:right="20" w:firstLine="0"/>
      </w:pPr>
      <w:r>
        <w:rPr>
          <w:rStyle w:val="CharStyle33"/>
          <w:b w:val="0"/>
          <w:bCs w:val="0"/>
        </w:rPr>
        <w:t xml:space="preserve">Куда: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183" w:line="270" w:lineRule="exact"/>
        <w:ind w:left="49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ФАС:344006, г. Ростов-на-Дону, пр.Ворошиловский,2/2, офис 403 Телефоны: (863) 263-31-04 Факс: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 кого: ООО «Андромеда»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right"/>
        <w:spacing w:before="0" w:after="1023" w:line="266" w:lineRule="exact"/>
        <w:ind w:left="49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Адрес заявителя: Ростов-на-Дону, ул. Курская 1, оф.201 Почтовый адрес: Ростов-на-Дону, ул. Курская 1, оф.201</w:t>
      </w:r>
    </w:p>
    <w:p>
      <w:pPr>
        <w:pStyle w:val="Style34"/>
        <w:widowControl w:val="0"/>
        <w:keepNext/>
        <w:keepLines/>
        <w:shd w:val="clear" w:color="auto" w:fill="auto"/>
        <w:bidi w:val="0"/>
        <w:spacing w:before="0" w:after="238"/>
        <w:ind w:left="2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Жалоба на действия (бездействия) заказчика, уполномоченного органа, уполномоченного учреждения, специализированной организации, комиссии по осуществлению закупок</w:t>
      </w:r>
      <w:bookmarkEnd w:id="1"/>
    </w:p>
    <w:p>
      <w:pPr>
        <w:pStyle w:val="Style31"/>
        <w:numPr>
          <w:ilvl w:val="0"/>
          <w:numId w:val="1"/>
        </w:numPr>
        <w:tabs>
          <w:tab w:leader="none" w:pos="7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38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ФЕДЕРАЛЬНОЕ ГОСУДАРСТВЕННОЕ БЮДЖЕТНОЕ ОБРАЗОВАТЕЛЬНОЕ УЧРЕЖДЕНИЕ ВЫСШЕГО ОБРАЗОВАНИЯ "ДОНСКОЙ ГОСУДАРСТВЕННЫЙ ТЕХ НИЧЕСКИЙ ИВЕРСИТЕТ"</w:t>
      </w:r>
    </w:p>
    <w:p>
      <w:pPr>
        <w:pStyle w:val="Style17"/>
        <w:tabs>
          <w:tab w:leader="none" w:pos="2835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Место нахождения:</w:t>
        <w:tab/>
        <w:t>Российская Федерация, 344000, Ростовская обл, Ростов-на-Дону г, пл.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Гагарина, дом 1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38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Почтовый адрес: Российская Федерация, 344000, Ростовская обл, Ростов-на-Дону г, пл Гагарина, дом 1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Адрес электронной почты </w:t>
      </w:r>
      <w:r>
        <w:fldChar w:fldCharType="begin"/>
      </w:r>
      <w:r>
        <w:rPr>
          <w:color w:val="000000"/>
        </w:rPr>
        <w:instrText> HYPERLINK "mailto:max-s77@mail.ru"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max-s77@mail.ru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38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Номера контактных телефонов / факса заказчика, уполномоченного органа, специализированной организации 7-863-2381385/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80" w:firstLine="360"/>
      </w:pPr>
      <w:r>
        <w:rPr>
          <w:rStyle w:val="CharStyle33"/>
          <w:b w:val="0"/>
          <w:bCs w:val="0"/>
        </w:rPr>
        <w:t xml:space="preserve">Контактное лицо: Сухов Максим Владимирович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Фамилии, имена, отчества членов комиссии по осуществлению закупок, действия (бездействие) которых обжалуются: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540" w:right="3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Заказчика, указанный в документации об аукционе: Проректор по ОВ А.В. Мозговой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540" w:right="2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контактное лицо, указанное Заказчиком: Сухов Максим Владимирович Данные о членах комиссии отсутствуют.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20" w:right="380" w:firstLine="520"/>
      </w:pPr>
      <w:r>
        <w:rPr>
          <w:rStyle w:val="CharStyle36"/>
        </w:rPr>
        <w:t xml:space="preserve">Участник размещения заказа (заявитель):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«Андромеда» ИНН: 6162075650 Адрес: 344039, г. Ростов-на-Дону, ул. Курская, д. 1, оф. 201, телефон: 8 (863) 309 15 59;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37"/>
        </w:rPr>
        <w:t>info@andromeda.team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контактное лицо: Генеральный директор Гулевский Станислав Валерьевич</w:t>
      </w:r>
    </w:p>
    <w:p>
      <w:pPr>
        <w:pStyle w:val="Style3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Адрес официального сайта на котором размещена информация о закупке: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740" w:right="0" w:firstLine="0"/>
      </w:pPr>
      <w:r>
        <w:fldChar w:fldCharType="begin"/>
      </w:r>
      <w:r>
        <w:rPr>
          <w:rStyle w:val="CharStyle37"/>
        </w:rPr>
        <w:instrText> HYPERLINK "http://www.sberbank-ast.ru/purchaseview.aspx?id=5887286" </w:instrText>
      </w:r>
      <w:r>
        <w:fldChar w:fldCharType="separate"/>
      </w:r>
      <w:r>
        <w:rPr>
          <w:rStyle w:val="Hyperlink"/>
        </w:rPr>
        <w:t>http://www.sberbank-ast.ru/purchaseview.aspx?id=5887286</w:t>
      </w:r>
      <w:r>
        <w:fldChar w:fldCharType="end"/>
      </w:r>
    </w:p>
    <w:p>
      <w:pPr>
        <w:pStyle w:val="Style1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 xml:space="preserve">Номер извещения: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№0358100011818000066</w:t>
      </w:r>
      <w:r>
        <w:br w:type="page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 w:firstLine="0"/>
      </w:pPr>
      <w:r>
        <w:rPr>
          <w:rStyle w:val="CharStyle36"/>
        </w:rPr>
        <w:t xml:space="preserve">Наименование аукциона: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Поставка, монтаж и пусто-наладка оборудования ядра сети передачи данных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Дата опубликования извещения о проведении электронного аукциона: </w:t>
      </w:r>
      <w:r>
        <w:rPr>
          <w:rStyle w:val="CharStyle33"/>
          <w:b w:val="0"/>
          <w:bCs w:val="0"/>
        </w:rPr>
        <w:t xml:space="preserve">2018-06-04 в 10:05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Обжалуемые действия комиссии по осуществлению закупок с указанием норм Федерального закона от 05.04.2013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</w:t>
      </w:r>
      <w:r>
        <w:rPr>
          <w:rStyle w:val="CharStyle38"/>
          <w:b w:val="0"/>
          <w:bCs w:val="0"/>
        </w:rPr>
        <w:t>2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 «О контрактной системе в сфере закупок товаров, работ, услуг для обеспечения государственных и муниципальных нужд» (далее -Закон о контрактной системе) которые, по мнению Заявителя нарушены: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нарушены ст.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статья 17 Федерального закона от 26 июля 2006 г. № 135-ФЗ "О защите конкуренции"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Доводы жалобы: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в технической части документации при описании объекта закупки нарушил статью 33 Закона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N9 </w:t>
      </w:r>
      <w:r>
        <w:rPr>
          <w:lang w:val="ru-RU" w:eastAsia="ru-RU" w:bidi="ru-RU"/>
          <w:w w:val="100"/>
          <w:spacing w:val="0"/>
          <w:color w:val="000000"/>
          <w:position w:val="0"/>
        </w:rPr>
        <w:t>44-ФЗ, что привело к созданию необоснованных препятствий для участников закупки 0358100011818000066 и повлекло сокращение их количества, что является признаком ограничения конкуренции, а именно: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Технические характеристики, указанные в Техническом задании на поставку, монтаж и пуско-наладку оборудования ядра сети передачи данных для нужд Донского Государственного Технического Университета (Приложение № 2 к Документации электронного аукциона на право заключения гражданско-правового договора «поставка, монтаж и пуско-наладка оборудования ядра сети передачи данных») свидетельствуют о возможности закупить указанный товар только у производителя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Cisco,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именно:</w:t>
      </w:r>
    </w:p>
    <w:p>
      <w:pPr>
        <w:pStyle w:val="Style31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существует коммутаторов у других производителей, удовлетворяющих условию портовой конфигурации по следующим параметрам (п.1):</w:t>
      </w:r>
    </w:p>
    <w:p>
      <w:pPr>
        <w:pStyle w:val="Style1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Коммутатор должен иметь не менее 48 портов стандарта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SFP28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 поддержкой передачи данных на скорости 1,10 и 25 Гбит/с по протоколу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Ethernet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на скорости 8,16 и 32Гбит/с по протоколу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FC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только у оборудования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Cisco.</w:t>
      </w:r>
    </w:p>
    <w:p>
      <w:pPr>
        <w:pStyle w:val="Style17"/>
        <w:numPr>
          <w:ilvl w:val="0"/>
          <w:numId w:val="7"/>
        </w:numPr>
        <w:tabs>
          <w:tab w:leader="none" w:pos="671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существует конвергентных коммутаторов с портами 32 Гбит/с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 других производителей.</w:t>
      </w:r>
    </w:p>
    <w:p>
      <w:pPr>
        <w:pStyle w:val="Style17"/>
        <w:numPr>
          <w:ilvl w:val="0"/>
          <w:numId w:val="7"/>
        </w:numPr>
        <w:tabs>
          <w:tab w:leader="none" w:pos="671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существует конвергентных коммутаторов с 6-ю интерфейсами 100 Гбит/с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Ethernet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FC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одновременно у других производителей.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 же есть ряд существенных требований в техническом задании, ограничивающих конкуренцию, а именно:</w:t>
      </w:r>
    </w:p>
    <w:p>
      <w:pPr>
        <w:pStyle w:val="Style17"/>
        <w:numPr>
          <w:ilvl w:val="0"/>
          <w:numId w:val="9"/>
        </w:numPr>
        <w:tabs>
          <w:tab w:leader="none" w:pos="671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существует коммутаторов других производителей, поддерживающих </w:t>
      </w:r>
      <w:r>
        <w:rPr>
          <w:lang w:val="en-US" w:eastAsia="en-US" w:bidi="en-US"/>
          <w:w w:val="100"/>
          <w:spacing w:val="0"/>
          <w:color w:val="000000"/>
          <w:position w:val="0"/>
        </w:rPr>
        <w:t>NAT.</w:t>
      </w:r>
    </w:p>
    <w:p>
      <w:pPr>
        <w:pStyle w:val="Style17"/>
        <w:numPr>
          <w:ilvl w:val="0"/>
          <w:numId w:val="9"/>
        </w:numPr>
        <w:tabs>
          <w:tab w:leader="none" w:pos="671" w:val="left"/>
        </w:tabs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существует коммутатора в форм-факторе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имеющего емкость таблицы маршрутизации 1,8М маршрутов.</w:t>
      </w:r>
    </w:p>
    <w:p>
      <w:pPr>
        <w:pStyle w:val="Style1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20" w:right="20" w:firstLine="0"/>
      </w:pPr>
      <w:r>
        <w:rPr>
          <w:rStyle w:val="CharStyle36"/>
        </w:rPr>
        <w:t xml:space="preserve"> По ряду пунктов технического задания присутствуют нарушения,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а именно: техническое задание содержит указание на параметры, не влияющие на потребительские характеристики оборудования и не обоснованные ничем, кроме ограничения конкуренции: В частности, объем памяти, тактовая частота процессора и объем внутреннего накопителя не влияют явным образом на потребительские характеристики рассматриваемого оборудования, так как не могут быть использованы в отрыве ПО коммутатора. Потребительские характеристики коммутатора и маршрутизатора обусловлены показателями производительности и поддерживаемыми функциями и между двумя коммутаторами, имеющими равные показатели производительности и функционал, не будет разницы даже при использовании разных процессоров. Так как коммутатор не является питающим, то есть не поддерживает РоЕ, характеристика мощности БП также не влияет на потребительские характеристики и должна быть ограничена энерго-бюджетом инфраструктуры только сверху (не более), а не снизу, как в данном техническом задании.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Только у производителя оборудования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Cisco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есть коммутаторы с блоком питания, соответствующие стандартам питания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HVAC/HVDC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форм-факторе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1U.</w:t>
      </w:r>
    </w:p>
    <w:p>
      <w:pPr>
        <w:pStyle w:val="Style31"/>
        <w:tabs>
          <w:tab w:leader="none" w:pos="43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0" w:lineRule="exact"/>
        <w:ind w:left="20" w:right="2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Ill)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ограничивает конкуренцию и явным образом прописывает в документации оборудование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Cisco: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«Коммутатор должен обеспечивать возможность полной поддержки протокола динамической маршрутизации, обеспечивающего балансировку нагрузку по маршрутам с разной стоимостью, вычисление стоимости маршрутов с учетом пропускной способности канала связи, задержки, загрузки и надежности канала связи с возможностью установки весовых коэффициентов для каждого из параметров. Поддержка данного протокола должна обеспечиваться путем активирования опциональной лицензии» - поддерживается только оборудованием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Cisco.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Исходя из вышеуказанного Заказчик ограничивает конкуренцию и явным образом прописывает в документации оборудование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>Cisco.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3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Включение Заказчиком в аукционную документацию требований к закупаемому товару, которые свидетельствуют о его конкретном производителе, о единственном производителе у которого возможна закупка товара, в отсутствие специфики использования такого товара- является нарушением положений статьи 33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Вышеизложенные факты свидетельствуют о злоупотреблении Заказчиком правилами размещения заказа, что привело к созданию необоснованных препятствий для участников закупки 0358100011818000066 и повлекло сокращение их количества, что является признаком ограничения конкуренции.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допущены нарушения антимонопольного законодательства, которые выражаются в ограничении количества участников закупки и недопущении конкуренции на торгах, в частности ст. 17 Федерального закона от 26 июля 2006 г. № 135-ФЗ "О защите конкуренции".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17 Федерального закона от 26 июля 2006 г. № 135-ФЗ "О защите конкуренции" при проведении торгов запрещаются действия, которые приводят или могут привести к недопущению, ограничению или устранению конкуренции, в том числе создание участнику торгов или нескольким участникам торгов преимущественных условий участия в торгах.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20" w:right="20" w:firstLine="0"/>
      </w:pPr>
      <w:r>
        <w:rPr>
          <w:rStyle w:val="CharStyle37"/>
          <w:lang w:val="ru-RU" w:eastAsia="ru-RU" w:bidi="ru-RU"/>
        </w:rPr>
        <w:t>В запросах ООО «Андромеды» Заказчику было указано на нарушения,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допущенные им при составлении и размещении на сайте Технического задания на поставку, монтаж и пуско</w:t>
        <w:softHyphen/>
        <w:t>наладку оборудования ядра сети передачи данных для нужд Донского Государственного Технического Университета -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37" w:line="26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(запросы ООО «Андромеды» размещены на электронной торговой </w:t>
      </w:r>
      <w:r>
        <w:rPr>
          <w:rStyle w:val="CharStyle37"/>
        </w:rPr>
        <w:t>http://www.sberbank-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ast.ru/purchaseview.aspx?id=5887286</w:t>
      </w:r>
      <w:r>
        <w:rPr>
          <w:lang w:val="en-US" w:eastAsia="en-US" w:bidi="en-US"/>
          <w:w w:val="100"/>
          <w:spacing w:val="0"/>
          <w:color w:val="000000"/>
          <w:position w:val="0"/>
        </w:rPr>
        <w:t>)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за вышеуказанные запросы ООО «Андромеда» № 973646,974171, 973929 были размещены разъяснения: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3" w:line="266" w:lineRule="exact"/>
        <w:ind w:left="20" w:right="35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№РД1 дата публикации разъяснения 2018-06-15 17:37 № РД2 дата публикации разъяснения 2018-06-15 17:38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N9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РДЗ дата публикации разъяснения 2018-06-15 17:39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34" w:line="26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вышеуказанных разъяснениях № РД1, РД2,РДЗ - Заказчик согласился с доводами ООО «Андромеда», разместив ответ на сайте </w:t>
      </w:r>
      <w:r>
        <w:rPr>
          <w:rStyle w:val="CharStyle37"/>
        </w:rPr>
        <w:t>http://www.sberbank-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rStyle w:val="CharStyle37"/>
        </w:rPr>
        <w:t>ast.ru/purchaseview.aspx?id-5887286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1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Ответ на запросы ООО «Андромеда»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N9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973646, 974171, 973929 от 15.06.2018: </w:t>
      </w:r>
      <w:r>
        <w:rPr>
          <w:rStyle w:val="CharStyle36"/>
        </w:rPr>
        <w:t>«Заказчиком будут внесены изменения в аукционную документацию»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0" w:line="270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 настоящего времени, Заказчиком не внесены изменения в аукционную документацию и данная процедура перешла на этап рассмотрения заявок.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Вышеизложенное свидетельствует о том, что Заказчик установил излишние и ничем не обусловленные требования к товару, в результате чего была ограничена конкуренция и нарушены права ООО «Андромеда» как участника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40" w:right="20" w:firstLine="0"/>
      </w:pPr>
      <w:r>
        <w:rPr>
          <w:rStyle w:val="CharStyle36"/>
        </w:rPr>
        <w:t xml:space="preserve">В соответствии с п. 1 ч. 1 ст. 33 Федерального закона № 44-ФЗ,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при описании в документации о закупке объекта закупки должен руководствоваться следующими правилами: </w:t>
      </w:r>
      <w:r>
        <w:rPr>
          <w:rStyle w:val="CharStyle36"/>
        </w:rPr>
        <w:t xml:space="preserve">описание объекта закупки должно носить объективный характер.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</w:t>
      </w:r>
      <w:r>
        <w:rPr>
          <w:rStyle w:val="CharStyle36"/>
        </w:rPr>
        <w:t>услугам при условии, что такие требования влекут за собой ограничение количества участников закупки.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40" w:right="20" w:firstLine="0"/>
      </w:pPr>
      <w:r>
        <w:rPr>
          <w:rStyle w:val="CharStyle36"/>
        </w:rPr>
        <w:t xml:space="preserve">Частью 3 ст. 33 Федерального закона № 44-ФЗ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не допускается включение в документацию о закупке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40" w:line="266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данном конкретном случае - таких требований законом 44-ФЗ не предусмотрено.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both"/>
        <w:spacing w:before="0" w:after="24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Верховный Суд Российской Федерации </w:t>
      </w:r>
      <w:r>
        <w:rPr>
          <w:rStyle w:val="CharStyle33"/>
          <w:b w:val="0"/>
          <w:bCs w:val="0"/>
        </w:rPr>
        <w:t xml:space="preserve">в п. 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Российской Федерации 28.06.2017)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разъяснил, что включение заказчиком в аукционную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ст. 33 Федерального закона № 44-ФЗ.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Вышеизложенными фактами и материалами подтверждено, что установленным Заказчиком в аукционной документации характеристикам, параметрам, требованиям к товару соответствует единственный производитель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Cisco,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что прямо свидетельствует о возможности закупке товара у единственного производителя данного товара.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Каких-либо объективных причин для закупки необходимого оборудования именно стакими предельно регламентированными характеристиками, свидетельствующими об определенном производителе товара, а не аналогичного оборудования иных производителей не существует, таким образом - Заказчиком нарушено антимонопольное законодательство, что повлекло за собой ограничение конкуренции.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6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8. Приложения:</w:t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66" w:lineRule="exact"/>
        <w:ind w:left="7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Документация электронного аукциона на право заключения гражданско-правового договора «поставка, монтаж и пуско-наладка оборудования ядра сети передачи данных»</w:t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720" w:right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Техническое задание на поставку, монтаж и пуско-наладка оборудования ядра сети передачи данных для нужд Донского Государственного Технического Униврситета.</w:t>
      </w:r>
    </w:p>
    <w:p>
      <w:pPr>
        <w:pStyle w:val="Style1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243" w:line="27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Разъяснения документации (ответы Заказчика на запросы участника)</w:t>
      </w:r>
    </w:p>
    <w:p>
      <w:pPr>
        <w:pStyle w:val="Style39"/>
        <w:widowControl w:val="0"/>
        <w:keepNext/>
        <w:keepLines/>
        <w:shd w:val="clear" w:color="auto" w:fill="auto"/>
        <w:bidi w:val="0"/>
        <w:spacing w:before="0" w:after="237"/>
        <w:ind w:left="360" w:right="2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руководствуясь ст. 105 ФЗ от 05.04.2013 № 44-ФЗ О контрактной системе в сфере закупок товаров, работ, услуг для обеспечения государственных и муниципальных нужд, просим Вас:</w:t>
      </w:r>
      <w:bookmarkEnd w:id="2"/>
    </w:p>
    <w:p>
      <w:pPr>
        <w:pStyle w:val="Style1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Защитить права и законные интересы ООО «Андромеды».</w:t>
      </w:r>
    </w:p>
    <w:p>
      <w:pPr>
        <w:pStyle w:val="Style1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70" w:lineRule="exact"/>
        <w:ind w:left="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процедуру рассмотрения заявок, отменить протоколы, составленные в ходе проведения процедуры рассмотрения заявок, отменить протоколы подведения итогов.</w:t>
      </w:r>
    </w:p>
    <w:p>
      <w:pPr>
        <w:pStyle w:val="Style1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3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действия Заказчика, уполномоченного органа, членов комиссии по осуществлению закупок, контактного лица необоснованными и нарушающими законодательство.</w:t>
      </w:r>
    </w:p>
    <w:p>
      <w:pPr>
        <w:pStyle w:val="Style17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486" w:line="270" w:lineRule="exact"/>
        <w:ind w:left="3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проведение закупки № 0358100011818000066 в связи с ее незаконностью.</w:t>
      </w:r>
    </w:p>
    <w:sectPr>
      <w:type w:val="continuous"/>
      <w:pgSz w:w="16838" w:h="23810"/>
      <w:pgMar w:top="4032" w:left="3511" w:right="3511" w:bottom="3766" w:header="0" w:footer="3" w:gutter="101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3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upperRoman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lowerLetter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bullet"/>
      <w:lvlText w:val="•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Calibri" w:eastAsia="Calibri" w:hAnsi="Calibri" w:cs="Calibri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Заголовок №1_"/>
    <w:basedOn w:val="DefaultParagraphFont"/>
    <w:link w:val="Style11"/>
    <w:rPr>
      <w:b w:val="0"/>
      <w:bCs w:val="0"/>
      <w:i/>
      <w:iCs/>
      <w:u w:val="none"/>
      <w:strike w:val="0"/>
      <w:smallCaps w:val="0"/>
      <w:sz w:val="22"/>
      <w:szCs w:val="22"/>
      <w:rFonts w:ascii="Calibri" w:eastAsia="Calibri" w:hAnsi="Calibri" w:cs="Calibri"/>
      <w:spacing w:val="20"/>
    </w:rPr>
  </w:style>
  <w:style w:type="character" w:customStyle="1" w:styleId="CharStyle13">
    <w:name w:val="Заголовок №1"/>
    <w:basedOn w:val="CharStyle12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4">
    <w:name w:val="Заголовок №1 + 12 pt,Не курсив,Интервал 0 pt"/>
    <w:basedOn w:val="CharStyle12"/>
    <w:rPr>
      <w:lang w:val="ru-RU" w:eastAsia="ru-RU" w:bidi="ru-RU"/>
      <w:i/>
      <w:iCs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Заголовок №1 + Интервал -2 pt"/>
    <w:basedOn w:val="CharStyle12"/>
    <w:rPr>
      <w:lang w:val="ru-RU" w:eastAsia="ru-RU" w:bidi="ru-RU"/>
      <w:u w:val="single"/>
      <w:w w:val="100"/>
      <w:spacing w:val="-40"/>
      <w:color w:val="000000"/>
      <w:position w:val="0"/>
    </w:rPr>
  </w:style>
  <w:style w:type="character" w:customStyle="1" w:styleId="CharStyle16">
    <w:name w:val="Заголовок №1 + Интервал -2 pt"/>
    <w:basedOn w:val="CharStyle12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1">
    <w:name w:val="Основной текст (5)"/>
    <w:basedOn w:val="CharStyle20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3">
    <w:name w:val="Основной текст (7)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5">
    <w:name w:val="Основной текст (8)_"/>
    <w:basedOn w:val="DefaultParagraphFont"/>
    <w:link w:val="Style24"/>
    <w:rPr>
      <w:b/>
      <w:bCs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character" w:customStyle="1" w:styleId="CharStyle26">
    <w:name w:val="Основной текст (7) + Calibri,Полужирный"/>
    <w:basedOn w:val="CharStyle23"/>
    <w:rPr>
      <w:lang w:val="ru-RU" w:eastAsia="ru-RU" w:bidi="ru-RU"/>
      <w:b/>
      <w:bCs/>
      <w:rFonts w:ascii="Calibri" w:eastAsia="Calibri" w:hAnsi="Calibri" w:cs="Calibri"/>
      <w:w w:val="100"/>
      <w:spacing w:val="0"/>
      <w:color w:val="000000"/>
      <w:position w:val="0"/>
    </w:rPr>
  </w:style>
  <w:style w:type="character" w:customStyle="1" w:styleId="CharStyle28">
    <w:name w:val="Основной текст (9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character" w:customStyle="1" w:styleId="CharStyle29">
    <w:name w:val="Основной текст (9) + Полужирный"/>
    <w:basedOn w:val="CharStyle2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 (9) + Times New Roman"/>
    <w:basedOn w:val="CharStyle28"/>
    <w:rPr>
      <w:lang w:val="ru-RU" w:eastAsia="ru-RU" w:bidi="ru-R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2">
    <w:name w:val="Основной текст (10)_"/>
    <w:basedOn w:val="DefaultParagraphFont"/>
    <w:link w:val="Style31"/>
    <w:rPr>
      <w:b/>
      <w:bCs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character" w:customStyle="1" w:styleId="CharStyle33">
    <w:name w:val="Основной текст (10) + Не полужирный"/>
    <w:basedOn w:val="CharStyle3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5">
    <w:name w:val="Заголовок №2_"/>
    <w:basedOn w:val="DefaultParagraphFont"/>
    <w:link w:val="Style34"/>
    <w:rPr>
      <w:b/>
      <w:bCs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</w:rPr>
  </w:style>
  <w:style w:type="character" w:customStyle="1" w:styleId="CharStyle36">
    <w:name w:val="Основной текст + Полужирный"/>
    <w:basedOn w:val="CharStyle1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18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8">
    <w:name w:val="Основной текст (10) + Candara,11 pt,Не полужирный"/>
    <w:basedOn w:val="CharStyle32"/>
    <w:rPr>
      <w:lang w:val="en-US" w:eastAsia="en-US" w:bidi="en-US"/>
      <w:b/>
      <w:bCs/>
      <w:sz w:val="22"/>
      <w:szCs w:val="22"/>
      <w:rFonts w:ascii="Candara" w:eastAsia="Candara" w:hAnsi="Candara" w:cs="Candara"/>
      <w:w w:val="100"/>
      <w:spacing w:val="0"/>
      <w:color w:val="000000"/>
      <w:position w:val="0"/>
    </w:rPr>
  </w:style>
  <w:style w:type="character" w:customStyle="1" w:styleId="CharStyle40">
    <w:name w:val="Заголовок №3_"/>
    <w:basedOn w:val="DefaultParagraphFont"/>
    <w:link w:val="Style39"/>
    <w:rPr>
      <w:b/>
      <w:bCs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jc w:val="right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60" w:after="120" w:line="223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20" w:line="27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24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both"/>
      <w:outlineLvl w:val="0"/>
      <w:spacing w:before="240" w:after="3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Calibri" w:eastAsia="Calibri" w:hAnsi="Calibri" w:cs="Calibri"/>
      <w:spacing w:val="20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360" w:line="0" w:lineRule="exact"/>
      <w:ind w:hanging="360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jc w:val="both"/>
      <w:spacing w:line="31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FFFFFF"/>
      <w:spacing w:before="1440" w:line="23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4">
    <w:name w:val="Основной текст (8)"/>
    <w:basedOn w:val="Normal"/>
    <w:link w:val="CharStyle25"/>
    <w:pPr>
      <w:widowControl w:val="0"/>
      <w:shd w:val="clear" w:color="auto" w:fill="FFFFFF"/>
      <w:jc w:val="right"/>
      <w:spacing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paragraph" w:customStyle="1" w:styleId="Style27">
    <w:name w:val="Основной текст (9)"/>
    <w:basedOn w:val="Normal"/>
    <w:link w:val="CharStyle28"/>
    <w:pPr>
      <w:widowControl w:val="0"/>
      <w:shd w:val="clear" w:color="auto" w:fill="FFFFFF"/>
      <w:spacing w:line="248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Calibri" w:eastAsia="Calibri" w:hAnsi="Calibri" w:cs="Calibri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jc w:val="right"/>
      <w:spacing w:before="360" w:after="180" w:line="26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  <w:style w:type="paragraph" w:customStyle="1" w:styleId="Style34">
    <w:name w:val="Заголовок №2"/>
    <w:basedOn w:val="Normal"/>
    <w:link w:val="CharStyle35"/>
    <w:pPr>
      <w:widowControl w:val="0"/>
      <w:shd w:val="clear" w:color="auto" w:fill="FFFFFF"/>
      <w:jc w:val="center"/>
      <w:outlineLvl w:val="1"/>
      <w:spacing w:before="1080" w:after="180" w:line="338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Calibri" w:eastAsia="Calibri" w:hAnsi="Calibri" w:cs="Calibri"/>
    </w:rPr>
  </w:style>
  <w:style w:type="paragraph" w:customStyle="1" w:styleId="Style39">
    <w:name w:val="Заголовок №3"/>
    <w:basedOn w:val="Normal"/>
    <w:link w:val="CharStyle40"/>
    <w:pPr>
      <w:widowControl w:val="0"/>
      <w:shd w:val="clear" w:color="auto" w:fill="FFFFFF"/>
      <w:jc w:val="both"/>
      <w:outlineLvl w:val="2"/>
      <w:spacing w:before="240" w:after="240" w:line="266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Calibri" w:eastAsia="Calibri" w:hAnsi="Calibri" w:cs="Calibri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