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50" w:h="2892" w:wrap="around" w:hAnchor="margin" w:x="87" w:y="1295"/>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50" w:h="2892" w:wrap="around" w:hAnchor="margin" w:x="87" w:y="129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50" w:h="2892" w:wrap="around" w:hAnchor="margin" w:x="87" w:y="1295"/>
        <w:widowControl w:val="0"/>
        <w:keepNext w:val="0"/>
        <w:keepLines w:val="0"/>
        <w:shd w:val="clear" w:color="auto" w:fill="auto"/>
        <w:bidi w:val="0"/>
        <w:spacing w:before="0" w:after="254"/>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50" w:h="2892" w:wrap="around" w:hAnchor="margin" w:x="87" w:y="1295"/>
        <w:widowControl w:val="0"/>
        <w:keepNext w:val="0"/>
        <w:keepLines w:val="0"/>
        <w:shd w:val="clear" w:color="auto" w:fill="auto"/>
        <w:bidi w:val="0"/>
        <w:jc w:val="left"/>
        <w:spacing w:before="0" w:after="0" w:line="240" w:lineRule="exact"/>
        <w:ind w:left="0" w:right="0" w:firstLine="0"/>
      </w:pPr>
      <w:r>
        <w:rPr>
          <w:rStyle w:val="CharStyle8"/>
          <w:spacing w:val="0"/>
        </w:rPr>
        <w:t>10.11.2017 №06/12898</w:t>
      </w:r>
    </w:p>
    <w:p>
      <w:pPr>
        <w:pStyle w:val="Style7"/>
        <w:numPr>
          <w:ilvl w:val="0"/>
          <w:numId w:val="1"/>
        </w:numPr>
        <w:widowControl w:val="0"/>
        <w:keepNext w:val="0"/>
        <w:keepLines w:val="0"/>
        <w:shd w:val="clear" w:color="auto" w:fill="auto"/>
        <w:bidi w:val="0"/>
        <w:jc w:val="left"/>
        <w:spacing w:before="1079"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Администрация Ленинского района Республики Крым 298200, Республика Крым,</w:t>
      </w:r>
    </w:p>
    <w:p>
      <w:pPr>
        <w:pStyle w:val="Style7"/>
        <w:framePr w:h="250" w:wrap="around" w:vAnchor="text" w:hAnchor="margin" w:x="54" w:y="707"/>
        <w:widowControl w:val="0"/>
        <w:keepNext w:val="0"/>
        <w:keepLines w:val="0"/>
        <w:shd w:val="clear" w:color="auto" w:fill="auto"/>
        <w:bidi w:val="0"/>
        <w:jc w:val="left"/>
        <w:spacing w:before="0" w:after="0" w:line="240" w:lineRule="exact"/>
        <w:ind w:left="0" w:right="0" w:firstLine="0"/>
      </w:pPr>
      <w:r>
        <w:rPr>
          <w:rStyle w:val="CharStyle8"/>
          <w:spacing w:val="0"/>
        </w:rPr>
        <w:t>На № б/н, б/д</w:t>
      </w:r>
    </w:p>
    <w:p>
      <w:pPr>
        <w:pStyle w:val="Style7"/>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Ленинский район, п.г.т. Ленино, ул. Пушкина, д. 22;</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ИП Черняк Г. Е.</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658370, Алтайский край,</w:t>
      </w:r>
    </w:p>
    <w:p>
      <w:pPr>
        <w:pStyle w:val="Style7"/>
        <w:widowControl w:val="0"/>
        <w:keepNext w:val="0"/>
        <w:keepLines w:val="0"/>
        <w:shd w:val="clear" w:color="auto" w:fill="auto"/>
        <w:bidi w:val="0"/>
        <w:jc w:val="left"/>
        <w:spacing w:before="0" w:after="346"/>
        <w:ind w:left="4980" w:right="900" w:firstLine="0"/>
      </w:pPr>
      <w:r>
        <w:rPr>
          <w:lang w:val="ru-RU" w:eastAsia="ru-RU" w:bidi="ru-RU"/>
          <w:w w:val="100"/>
          <w:spacing w:val="0"/>
          <w:color w:val="000000"/>
          <w:position w:val="0"/>
        </w:rPr>
        <w:t>Шипуновский район, с. Белоглазово, ул. Школьная, д. 55, кв. 2</w:t>
      </w:r>
    </w:p>
    <w:p>
      <w:pPr>
        <w:pStyle w:val="Style7"/>
        <w:numPr>
          <w:ilvl w:val="0"/>
          <w:numId w:val="1"/>
        </w:numPr>
        <w:widowControl w:val="0"/>
        <w:keepNext w:val="0"/>
        <w:keepLines w:val="0"/>
        <w:shd w:val="clear" w:color="auto" w:fill="auto"/>
        <w:bidi w:val="0"/>
        <w:jc w:val="left"/>
        <w:spacing w:before="0" w:after="57"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13" w:line="260"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240" w:line="322" w:lineRule="exact"/>
        <w:ind w:left="4980" w:right="300" w:firstLine="0"/>
      </w:pPr>
      <w:r>
        <w:rPr>
          <w:lang w:val="ru-RU" w:eastAsia="ru-RU" w:bidi="ru-RU"/>
          <w:w w:val="100"/>
          <w:spacing w:val="0"/>
          <w:color w:val="000000"/>
          <w:position w:val="0"/>
        </w:rPr>
        <w:t>121151, г. Москва, наб. Тараса Шевченко, д. 23А, сектор В, 25 этаж</w:t>
      </w:r>
    </w:p>
    <w:p>
      <w:pPr>
        <w:pStyle w:val="Style10"/>
        <w:widowControl w:val="0"/>
        <w:keepNext w:val="0"/>
        <w:keepLines w:val="0"/>
        <w:shd w:val="clear" w:color="auto" w:fill="auto"/>
        <w:bidi w:val="0"/>
        <w:spacing w:before="0" w:after="289"/>
        <w:ind w:left="0" w:right="0" w:firstLine="0"/>
      </w:pPr>
      <w:r>
        <w:rPr>
          <w:lang w:val="ru-RU" w:eastAsia="ru-RU" w:bidi="ru-RU"/>
          <w:w w:val="100"/>
          <w:spacing w:val="0"/>
          <w:color w:val="000000"/>
          <w:position w:val="0"/>
        </w:rPr>
        <w:t>Решение по делу №06/4222-17 о нарушении законодательства Российской Федерации о контрактной системе в сфере закупок</w:t>
      </w:r>
    </w:p>
    <w:p>
      <w:pPr>
        <w:pStyle w:val="Style7"/>
        <w:tabs>
          <w:tab w:leader="none" w:pos="8004"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10.11.2017</w:t>
        <w:tab/>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при участии представителя Заказчика Д. Р. Шевченко (по доверенности), Ю. Ю. Кондрашовой (по доверенности),</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рассмотрев жалобу Заявителя б/н, б/д (вх. №1483/10 от 07.11.2017) на действия Заказчика при проведении электронного аукциона «Выполнение строительно-монтажных работ на объекте: "Капитальный ремонт водопроводных сетей по улице Победы с. Заветное Ленинского района Республики Крым"» (номер извещения 0375300010217000042)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документации об Аукционе Заказчиком при описании отдельных материалов и товаров, используемых при выполнении работ, установлено требование об их соответствии ГОСТ, при этом показатели характеристик и свойств товаров указаны Заказчиком отличные от показателей ГОСТ.</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№06/12665,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ходе заседания Комиссии представители Заказчика не согласились с доводами жалобы и сообщили, что при проведении Аукциона Заказчик действовал в соответствии с требованиями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4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 извещение об осуществлении закупки размещено на официальном сайте — 17.10.2017;</w:t>
      </w:r>
    </w:p>
    <w:p>
      <w:pPr>
        <w:pStyle w:val="Style7"/>
        <w:numPr>
          <w:ilvl w:val="0"/>
          <w:numId w:val="3"/>
        </w:numPr>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- 7 880 170,00 рублей;</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03.11.2017 13:00, дата окончания срока рассмотрения первых частей заявок участников: 07.11.2017, дата проведения Аукциона: 10.11.2017;</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5 заявок, из них по результатам рассмотрения первых частей заявок участников 4 заявки признаны не соответствующими документации об Аукционе;</w:t>
      </w:r>
    </w:p>
    <w:p>
      <w:pPr>
        <w:pStyle w:val="Style7"/>
        <w:numPr>
          <w:ilvl w:val="0"/>
          <w:numId w:val="3"/>
        </w:numPr>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numPr>
          <w:ilvl w:val="0"/>
          <w:numId w:val="5"/>
        </w:numPr>
        <w:tabs>
          <w:tab w:leader="none" w:pos="125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 установил в техническом задании документации об Аукционе по позициям «Швеллеры», «Труба», «Гидранты пожарные» требование о соответствии товаров (материалов), используемым при выполнении работ, ГОСТам, при этом показатели характеристик и свойств товаров указаны Заказчиком отличные от показателей ГОСТ, а также требования о соответствии товаров (маткриалов) ГОСТ, утратившего свою силу действия.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7"/>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технической документацией на указанные машины и оборудование;</w:t>
      </w:r>
    </w:p>
    <w:p>
      <w:pPr>
        <w:pStyle w:val="Style7"/>
        <w:numPr>
          <w:ilvl w:val="0"/>
          <w:numId w:val="7"/>
        </w:numPr>
        <w:tabs>
          <w:tab w:leader="none" w:pos="1254" w:val="left"/>
        </w:tabs>
        <w:widowControl w:val="0"/>
        <w:keepNext w:val="0"/>
        <w:keepLines w:val="0"/>
        <w:shd w:val="clear" w:color="auto" w:fill="auto"/>
        <w:bidi w:val="0"/>
        <w:jc w:val="both"/>
        <w:spacing w:before="0" w:after="0" w:line="322" w:lineRule="exact"/>
        <w:ind w:left="20" w:right="28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8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8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требование о соответствии товаров, используемых при выполнении работ, например: </w:t>
      </w:r>
      <w:r>
        <w:rPr>
          <w:rStyle w:val="CharStyle13"/>
        </w:rPr>
        <w:t>«...</w:t>
      </w:r>
    </w:p>
    <w:p>
      <w:pPr>
        <w:pStyle w:val="Style14"/>
        <w:tabs>
          <w:tab w:leader="underscore" w:pos="1666" w:val="center"/>
          <w:tab w:leader="none" w:pos="2584" w:val="center"/>
          <w:tab w:leader="none" w:pos="3894" w:val="right"/>
          <w:tab w:leader="none" w:pos="5185" w:val="center"/>
          <w:tab w:leader="none" w:pos="6946" w:val="right"/>
          <w:tab w:leader="none" w:pos="8713" w:val="right"/>
          <w:tab w:leader="none" w:pos="9495" w:val="right"/>
        </w:tabs>
        <w:widowControl w:val="0"/>
        <w:keepNext w:val="0"/>
        <w:keepLines w:val="0"/>
        <w:shd w:val="clear" w:color="auto" w:fill="auto"/>
        <w:bidi w:val="0"/>
        <w:jc w:val="left"/>
        <w:spacing w:before="0" w:after="0"/>
        <w:ind w:left="20" w:right="280"/>
      </w:pPr>
      <w:r>
        <w:rPr>
          <w:lang w:val="ru-RU" w:eastAsia="ru-RU" w:bidi="ru-RU"/>
          <w:w w:val="100"/>
          <w:spacing w:val="0"/>
          <w:color w:val="000000"/>
          <w:position w:val="0"/>
        </w:rPr>
        <w:t xml:space="preserve">Приложение №1 к Техническому заданию. </w:t>
        <w:tab/>
      </w:r>
      <w:r>
        <w:rPr>
          <w:rStyle w:val="CharStyle16"/>
        </w:rPr>
        <w:t>ТРЕБОВАНИЯ</w:t>
        <w:tab/>
        <w:t>К</w:t>
        <w:tab/>
        <w:t>ТОВАРАМ,</w:t>
        <w:tab/>
        <w:t>ИСПОЛЬЗУЮЩИМСЯ</w:t>
        <w:tab/>
        <w:t>ПРИ</w:t>
        <w:tab/>
        <w:t>ВЫПОЛНЕНИИ</w:t>
        <w:tab/>
        <w:t>РАБОТ</w:t>
      </w:r>
    </w:p>
    <w:tbl>
      <w:tblPr>
        <w:tblOverlap w:val="never"/>
        <w:tblLayout w:type="fixed"/>
        <w:jc w:val="center"/>
      </w:tblPr>
      <w:tblGrid>
        <w:gridCol w:w="715"/>
        <w:gridCol w:w="2746"/>
        <w:gridCol w:w="7013"/>
      </w:tblGrid>
      <w:tr>
        <w:trPr>
          <w:trHeight w:val="221" w:hRule="exact"/>
        </w:trPr>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 п/п</w:t>
            </w: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Наименование материала</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Характеристики</w:t>
            </w:r>
          </w:p>
        </w:tc>
      </w:tr>
      <w:tr>
        <w:trPr>
          <w:trHeight w:val="216" w:hRule="exact"/>
        </w:trPr>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1</w:t>
            </w:r>
          </w:p>
        </w:tc>
        <w:tc>
          <w:tcPr>
            <w:shd w:val="clear" w:color="auto" w:fill="FFFFFF"/>
            <w:tcBorders>
              <w:lef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2</w:t>
            </w:r>
          </w:p>
        </w:tc>
        <w:tc>
          <w:tcPr>
            <w:shd w:val="clear" w:color="auto" w:fill="FFFFFF"/>
            <w:tcBorders>
              <w:left w:val="single" w:sz="4"/>
              <w:right w:val="single" w:sz="4"/>
              <w:top w:val="single" w:sz="4"/>
            </w:tcBorders>
            <w:vAlign w:val="center"/>
          </w:tcPr>
          <w:p>
            <w:pPr>
              <w:pStyle w:val="Style7"/>
              <w:framePr w:w="1047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20"/>
              </w:rPr>
              <w:t>3</w:t>
            </w:r>
          </w:p>
        </w:tc>
      </w:tr>
      <w:tr>
        <w:trPr>
          <w:trHeight w:val="221" w:hRule="exact"/>
        </w:trPr>
        <w:tc>
          <w:tcPr>
            <w:shd w:val="clear" w:color="auto" w:fill="FFFFFF"/>
            <w:tcBorders>
              <w:left w:val="single" w:sz="4"/>
              <w:top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74" w:wrap="notBeside" w:vAnchor="text" w:hAnchor="text" w:xAlign="center" w:y="1"/>
              <w:widowControl w:val="0"/>
              <w:rPr>
                <w:sz w:val="10"/>
                <w:szCs w:val="10"/>
              </w:rPr>
            </w:pPr>
          </w:p>
        </w:tc>
      </w:tr>
      <w:tr>
        <w:trPr>
          <w:trHeight w:val="1253" w:hRule="exact"/>
        </w:trPr>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20</w:t>
            </w:r>
          </w:p>
        </w:tc>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Швеллеры</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1"/>
              </w:rPr>
              <w:t>Швеллеры стальные (по ГОСТ 8240). Номер швеллера 40. Швеллеры должны быть легкой серии; экономичные, с параллельными гранями полок. Швеллеры должны быть выполнены из стали Ст0. Должны соответствовать документам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принятыми в соответствии с законодательством Российской Федерации о стандартизации</w:t>
            </w:r>
          </w:p>
        </w:tc>
      </w:tr>
      <w:tr>
        <w:trPr>
          <w:trHeight w:val="216" w:hRule="exact"/>
        </w:trPr>
        <w:tc>
          <w:tcPr>
            <w:shd w:val="clear" w:color="auto" w:fill="FFFFFF"/>
            <w:tcBorders>
              <w:left w:val="single" w:sz="4"/>
              <w:top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74" w:wrap="notBeside" w:vAnchor="text" w:hAnchor="text" w:xAlign="center" w:y="1"/>
              <w:widowControl w:val="0"/>
              <w:rPr>
                <w:sz w:val="10"/>
                <w:szCs w:val="10"/>
              </w:rPr>
            </w:pPr>
          </w:p>
        </w:tc>
      </w:tr>
      <w:tr>
        <w:trPr>
          <w:trHeight w:val="422" w:hRule="exact"/>
        </w:trPr>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37</w:t>
            </w:r>
          </w:p>
        </w:tc>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Гидрант пожарный</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1"/>
              </w:rPr>
              <w:t>Гидрант пожарный. Гидрант пожарный должен быть с Высотой гидранта не менее: 500мм, внутренний диаметр корпуса должен быть 125мм.</w:t>
            </w:r>
          </w:p>
        </w:tc>
      </w:tr>
      <w:tr>
        <w:trPr>
          <w:trHeight w:val="216" w:hRule="exact"/>
        </w:trPr>
        <w:tc>
          <w:tcPr>
            <w:shd w:val="clear" w:color="auto" w:fill="FFFFFF"/>
            <w:tcBorders>
              <w:left w:val="single" w:sz="4"/>
              <w:top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74" w:wrap="notBeside" w:vAnchor="text" w:hAnchor="text" w:xAlign="center" w:y="1"/>
              <w:widowControl w:val="0"/>
              <w:rPr>
                <w:sz w:val="10"/>
                <w:szCs w:val="10"/>
              </w:rPr>
            </w:pPr>
          </w:p>
        </w:tc>
      </w:tr>
      <w:tr>
        <w:trPr>
          <w:trHeight w:val="1459" w:hRule="exact"/>
        </w:trPr>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42</w:t>
            </w:r>
          </w:p>
        </w:tc>
        <w:tc>
          <w:tcPr>
            <w:shd w:val="clear" w:color="auto" w:fill="FFFFFF"/>
            <w:tcBorders>
              <w:left w:val="single" w:sz="4"/>
              <w:top w:val="single" w:sz="4"/>
            </w:tcBorders>
            <w:vAlign w:val="top"/>
          </w:tcPr>
          <w:p>
            <w:pPr>
              <w:pStyle w:val="Style7"/>
              <w:framePr w:w="10474"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21"/>
              </w:rPr>
              <w:t>Труба</w:t>
            </w:r>
          </w:p>
        </w:tc>
        <w:tc>
          <w:tcPr>
            <w:shd w:val="clear" w:color="auto" w:fill="FFFFFF"/>
            <w:tcBorders>
              <w:left w:val="single" w:sz="4"/>
              <w:right w:val="single" w:sz="4"/>
              <w:top w:val="single" w:sz="4"/>
            </w:tcBorders>
            <w:vAlign w:val="bottom"/>
          </w:tcPr>
          <w:p>
            <w:pPr>
              <w:pStyle w:val="Style7"/>
              <w:framePr w:w="1047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1"/>
              </w:rPr>
              <w:t xml:space="preserve">Труба напорная из полиэтилена </w:t>
            </w:r>
            <w:r>
              <w:rPr>
                <w:rStyle w:val="CharStyle21"/>
                <w:lang w:val="en-US" w:eastAsia="en-US" w:bidi="en-US"/>
              </w:rPr>
              <w:t xml:space="preserve">PE </w:t>
            </w:r>
            <w:r>
              <w:rPr>
                <w:rStyle w:val="CharStyle21"/>
              </w:rPr>
              <w:t xml:space="preserve">100 питьевая: ПЭ100 </w:t>
            </w:r>
            <w:r>
              <w:rPr>
                <w:rStyle w:val="CharStyle21"/>
                <w:lang w:val="en-US" w:eastAsia="en-US" w:bidi="en-US"/>
              </w:rPr>
              <w:t xml:space="preserve">SDR17, </w:t>
            </w:r>
            <w:r>
              <w:rPr>
                <w:rStyle w:val="CharStyle21"/>
              </w:rPr>
              <w:t>диаметром 160мм, с толщиной стенки 9,5 мм (ГОСТ 18599-2001, ГОСТ Р 52134-2003) Область применения: напорный водовод,</w:t>
            </w:r>
          </w:p>
          <w:p>
            <w:pPr>
              <w:pStyle w:val="Style7"/>
              <w:framePr w:w="1047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1"/>
              </w:rPr>
              <w:t>Материал - полиэтилен ПЭ 100, полипропилен.</w:t>
            </w:r>
          </w:p>
          <w:p>
            <w:pPr>
              <w:pStyle w:val="Style7"/>
              <w:framePr w:w="1047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1"/>
              </w:rPr>
              <w:t>Стандартный размерный коэффициент (отношение номинального наружного диаметра трубы к номинальной толщине стенки)-SDR 17.</w:t>
            </w:r>
          </w:p>
          <w:p>
            <w:pPr>
              <w:pStyle w:val="Style7"/>
              <w:framePr w:w="1047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1"/>
              </w:rPr>
              <w:t xml:space="preserve">Рабочее давление: вода до 1,6 МПа </w:t>
            </w:r>
            <w:r>
              <w:rPr>
                <w:rStyle w:val="CharStyle21"/>
                <w:lang w:val="en-US" w:eastAsia="en-US" w:bidi="en-US"/>
              </w:rPr>
              <w:t xml:space="preserve">(PN </w:t>
            </w:r>
            <w:r>
              <w:rPr>
                <w:rStyle w:val="CharStyle21"/>
              </w:rPr>
              <w:t>16).</w:t>
            </w:r>
          </w:p>
        </w:tc>
      </w:tr>
      <w:tr>
        <w:trPr>
          <w:trHeight w:val="226" w:hRule="exact"/>
        </w:trPr>
        <w:tc>
          <w:tcPr>
            <w:shd w:val="clear" w:color="auto" w:fill="FFFFFF"/>
            <w:tcBorders>
              <w:left w:val="single" w:sz="4"/>
              <w:top w:val="single" w:sz="4"/>
              <w:bottom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47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474" w:wrap="notBeside" w:vAnchor="text" w:hAnchor="text" w:xAlign="center" w:y="1"/>
              <w:widowControl w:val="0"/>
              <w:rPr>
                <w:sz w:val="10"/>
                <w:szCs w:val="10"/>
              </w:rPr>
            </w:pPr>
          </w:p>
        </w:tc>
      </w:tr>
    </w:tbl>
    <w:p>
      <w:pPr>
        <w:pStyle w:val="Style17"/>
        <w:framePr w:w="1047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9"/>
        </w:rPr>
        <w:t>.»</w:t>
      </w:r>
      <w:r>
        <w:rPr>
          <w:lang w:val="ru-RU" w:eastAsia="ru-RU" w:bidi="ru-RU"/>
          <w:w w:val="100"/>
          <w:spacing w:val="0"/>
          <w:color w:val="000000"/>
          <w:position w:val="0"/>
        </w:rPr>
        <w:t xml:space="preserve"> (цитаты).</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компонентов товара, показателей технологии производства, показателей,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представители Заказчика с доводом в отношении позиции «Труба» и установленного ГОСТ, утратившего свою силу - согласились.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изучив документацию об Аукционе, установила ненадлежащее описание Заказчиком товаров, используемых при выполнении работ, указанных Заявителем в жалобе по позициям «Швеллеры», «Труба», «Гидранты пожарные», чем нарушены требования части 6 статьи 66 Закона о контрактной системе.</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numPr>
          <w:ilvl w:val="0"/>
          <w:numId w:val="5"/>
        </w:numPr>
        <w:tabs>
          <w:tab w:leader="none" w:pos="122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№06/4182-17 по жалобе ООО «Перспектива»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результатам проверки Комиссия решением от 09.11.2017 по делу №06/4182-17 признала Заказчика нарушившим требования части 8 статьи 30, частей 1, 5, 7, 8, 13 статьи 34, части 4 статьи 64 Закона о контрактной системе, пунктов 4, 5 Правил от 30.08.2017 № 1042.</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Заказчику выдано предписание от 09.11.2017 по делу №06/4182-17 об устранении нарушений законодательства Российской Федерации о контрактной системе в сфере закупок а именно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09.11.2017 по делу №06/4182-17.</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Решением от 09.11.2017 по делу №06/4182-17 материалы дела №06/4182-17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r>
        <w:br w:type="page"/>
      </w:r>
    </w:p>
    <w:p>
      <w:pPr>
        <w:pStyle w:val="Style7"/>
        <w:widowControl w:val="0"/>
        <w:keepNext w:val="0"/>
        <w:keepLines w:val="0"/>
        <w:shd w:val="clear" w:color="auto" w:fill="auto"/>
        <w:bidi w:val="0"/>
        <w:jc w:val="center"/>
        <w:spacing w:before="0" w:after="122" w:line="260" w:lineRule="exact"/>
        <w:ind w:left="0" w:right="0" w:firstLine="0"/>
      </w:pPr>
      <w:r>
        <w:rPr>
          <w:lang w:val="ru-RU" w:eastAsia="ru-RU" w:bidi="ru-RU"/>
          <w:w w:val="100"/>
          <w:spacing w:val="0"/>
          <w:color w:val="000000"/>
          <w:position w:val="0"/>
        </w:rPr>
        <w:t>РЕШИЛА:</w:t>
      </w:r>
    </w:p>
    <w:p>
      <w:pPr>
        <w:pStyle w:val="Style7"/>
        <w:numPr>
          <w:ilvl w:val="0"/>
          <w:numId w:val="9"/>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9"/>
        </w:numPr>
        <w:widowControl w:val="0"/>
        <w:keepNext w:val="0"/>
        <w:keepLines w:val="0"/>
        <w:shd w:val="clear" w:color="auto" w:fill="auto"/>
        <w:bidi w:val="0"/>
        <w:jc w:val="both"/>
        <w:spacing w:before="0" w:after="60" w:line="322" w:lineRule="exact"/>
        <w:ind w:left="0" w:right="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7"/>
        <w:numPr>
          <w:ilvl w:val="0"/>
          <w:numId w:val="9"/>
        </w:numPr>
        <w:widowControl w:val="0"/>
        <w:keepNext w:val="0"/>
        <w:keepLines w:val="0"/>
        <w:shd w:val="clear" w:color="auto" w:fill="auto"/>
        <w:bidi w:val="0"/>
        <w:jc w:val="both"/>
        <w:spacing w:before="0" w:after="60" w:line="322" w:lineRule="exact"/>
        <w:ind w:left="0" w:right="0" w:firstLine="860"/>
      </w:pPr>
      <w:r>
        <w:rPr>
          <w:lang w:val="ru-RU" w:eastAsia="ru-RU" w:bidi="ru-RU"/>
          <w:w w:val="100"/>
          <w:spacing w:val="0"/>
          <w:color w:val="000000"/>
          <w:position w:val="0"/>
        </w:rPr>
        <w:t xml:space="preserve"> Заказчику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№06/4182-17.</w:t>
      </w:r>
    </w:p>
    <w:p>
      <w:pPr>
        <w:pStyle w:val="Style7"/>
        <w:numPr>
          <w:ilvl w:val="0"/>
          <w:numId w:val="9"/>
        </w:numPr>
        <w:widowControl w:val="0"/>
        <w:keepNext w:val="0"/>
        <w:keepLines w:val="0"/>
        <w:shd w:val="clear" w:color="auto" w:fill="auto"/>
        <w:bidi w:val="0"/>
        <w:jc w:val="both"/>
        <w:spacing w:before="0" w:after="64" w:line="322" w:lineRule="exact"/>
        <w:ind w:left="0" w:right="0" w:firstLine="860"/>
      </w:pPr>
      <w:r>
        <w:rPr>
          <w:lang w:val="ru-RU" w:eastAsia="ru-RU" w:bidi="ru-RU"/>
          <w:w w:val="100"/>
          <w:spacing w:val="0"/>
          <w:color w:val="000000"/>
          <w:position w:val="0"/>
        </w:rPr>
        <w:t xml:space="preserve"> Материалы по делу №06/4222-17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№06/4182-17.</w:t>
      </w:r>
    </w:p>
    <w:p>
      <w:pPr>
        <w:pStyle w:val="Style7"/>
        <w:numPr>
          <w:ilvl w:val="0"/>
          <w:numId w:val="9"/>
        </w:numPr>
        <w:widowControl w:val="0"/>
        <w:keepNext w:val="0"/>
        <w:keepLines w:val="0"/>
        <w:shd w:val="clear" w:color="auto" w:fill="auto"/>
        <w:bidi w:val="0"/>
        <w:jc w:val="both"/>
        <w:spacing w:before="0" w:after="60"/>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№06/12665.</w:t>
      </w:r>
    </w:p>
    <w:p>
      <w:pPr>
        <w:pStyle w:val="Style7"/>
        <w:framePr w:w="2158" w:h="1929" w:wrap="around" w:vAnchor="text" w:hAnchor="margin" w:x="7840" w:y="970"/>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footnotePr>
        <w:pos w:val="pageBottom"/>
        <w:numFmt w:val="decimal"/>
        <w:numRestart w:val="continuous"/>
      </w:footnotePr>
      <w:type w:val="continuous"/>
      <w:pgSz w:w="11906" w:h="16838"/>
      <w:pgMar w:top="1462" w:left="790" w:right="632" w:bottom="8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5)"/>
    <w:basedOn w:val="CharStyle15"/>
    <w:rPr>
      <w:lang w:val="ru-RU" w:eastAsia="ru-RU" w:bidi="ru-RU"/>
      <w:u w:val="single"/>
      <w:w w:val="100"/>
      <w:spacing w:val="0"/>
      <w:color w:val="000000"/>
      <w:position w:val="0"/>
    </w:rPr>
  </w:style>
  <w:style w:type="character" w:customStyle="1" w:styleId="CharStyle18">
    <w:name w:val="Подпись к таблице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Подпись к таблице"/>
    <w:basedOn w:val="CharStyle18"/>
    <w:rPr>
      <w:lang w:val="ru-RU" w:eastAsia="ru-RU" w:bidi="ru-RU"/>
      <w:w w:val="100"/>
      <w:spacing w:val="0"/>
      <w:color w:val="000000"/>
      <w:position w:val="0"/>
    </w:rPr>
  </w:style>
  <w:style w:type="character" w:customStyle="1" w:styleId="CharStyle20">
    <w:name w:val="Основной текст + 8,5 pt,Полужирный"/>
    <w:basedOn w:val="CharStyle9"/>
    <w:rPr>
      <w:lang w:val="ru-RU" w:eastAsia="ru-RU" w:bidi="ru-RU"/>
      <w:b/>
      <w:bCs/>
      <w:sz w:val="17"/>
      <w:szCs w:val="17"/>
      <w:w w:val="100"/>
      <w:spacing w:val="0"/>
      <w:color w:val="000000"/>
      <w:position w:val="0"/>
    </w:rPr>
  </w:style>
  <w:style w:type="character" w:customStyle="1" w:styleId="CharStyle21">
    <w:name w:val="Основной текст + 8,5 pt"/>
    <w:basedOn w:val="CharStyle9"/>
    <w:rPr>
      <w:lang w:val="ru-RU" w:eastAsia="ru-RU" w:bidi="ru-RU"/>
      <w:sz w:val="17"/>
      <w:szCs w:val="17"/>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274" w:lineRule="exact"/>
      <w:ind w:firstLine="5840"/>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Подпись к таблице"/>
    <w:basedOn w:val="Normal"/>
    <w:link w:val="CharStyle1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