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18" w:y="1698"/>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18" w:y="169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18" w:y="169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w="2848" w:h="1122" w:wrap="around" w:vAnchor="text" w:hAnchor="margin" w:x="-66" w:y="1141"/>
        <w:widowControl w:val="0"/>
        <w:keepNext w:val="0"/>
        <w:keepLines w:val="0"/>
        <w:shd w:val="clear" w:color="auto" w:fill="auto"/>
        <w:bidi w:val="0"/>
        <w:jc w:val="both"/>
        <w:spacing w:before="0" w:after="0" w:line="562" w:lineRule="exact"/>
        <w:ind w:left="20" w:right="120" w:firstLine="0"/>
      </w:pPr>
      <w:r>
        <w:rPr>
          <w:rStyle w:val="CharStyle8"/>
          <w:spacing w:val="0"/>
        </w:rPr>
        <w:t>14.11.2017 № 06/13077 На № б/н от 02.11.2017</w:t>
      </w:r>
    </w:p>
    <w:p>
      <w:pPr>
        <w:pStyle w:val="Style7"/>
        <w:widowControl w:val="0"/>
        <w:keepNext w:val="0"/>
        <w:keepLines w:val="0"/>
        <w:shd w:val="clear" w:color="auto" w:fill="auto"/>
        <w:bidi w:val="0"/>
        <w:jc w:val="left"/>
        <w:spacing w:before="0" w:after="240"/>
        <w:ind w:left="0" w:right="3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1"/>
        </w:numPr>
        <w:widowControl w:val="0"/>
        <w:keepNext w:val="0"/>
        <w:keepLines w:val="0"/>
        <w:shd w:val="clear" w:color="auto" w:fill="auto"/>
        <w:bidi w:val="0"/>
        <w:jc w:val="left"/>
        <w:spacing w:before="0" w:after="0"/>
        <w:ind w:left="22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4"/>
        <w:ind w:left="4980" w:right="920" w:firstLine="0"/>
      </w:pPr>
      <w:r>
        <w:rPr>
          <w:lang w:val="ru-RU" w:eastAsia="ru-RU" w:bidi="ru-RU"/>
          <w:w w:val="100"/>
          <w:spacing w:val="0"/>
          <w:color w:val="000000"/>
          <w:position w:val="0"/>
        </w:rPr>
        <w:t>ООО «МКЦ «РЕГИОН» г. Москва, 6-я, Радиальная, д. 5-3-46</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№06/4253-17 о нарушении законодательства Российской Федерации о контрактной системе в сфере закупок</w:t>
      </w:r>
    </w:p>
    <w:p>
      <w:pPr>
        <w:pStyle w:val="Style7"/>
        <w:tabs>
          <w:tab w:leader="none" w:pos="8014"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13.11.2017</w:t>
        <w:tab/>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02.11.2017 (вх. №4839/09 от 07.11.2017) на действия Заказчика при проведении электронного аукциона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Массандра, 3а» (номер извещения 0175300020917000008)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чем нарушены требования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№06/12709,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19.10.2017;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- 4 525 000,00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10:00, дата окончания срока рассмотрения первых частей заявок участников: 09.11.2017, дата проведения Аукциона: 13.11.2017;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 первых частей заявок участников 1 заявка признана не соответствующей требованиям документации об Аукционе и Закону о контрактной системе;</w:t>
      </w:r>
    </w:p>
    <w:p>
      <w:pPr>
        <w:pStyle w:val="Style7"/>
        <w:numPr>
          <w:ilvl w:val="0"/>
          <w:numId w:val="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4 участника, снижение от начальной (максимальной) цены контракта составило 67,5%.</w:t>
      </w:r>
    </w:p>
    <w:p>
      <w:pPr>
        <w:pStyle w:val="Style7"/>
        <w:numPr>
          <w:ilvl w:val="0"/>
          <w:numId w:val="5"/>
        </w:numPr>
        <w:tabs>
          <w:tab w:leader="none" w:pos="124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сносу (демонтажу) незаконных строений,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следующие требования о соответствии товаров, используемых при выполнении</w:t>
      </w:r>
    </w:p>
    <w:p>
      <w:pPr>
        <w:pStyle w:val="Style12"/>
        <w:framePr w:w="1023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4"/>
        </w:rPr>
        <w:t xml:space="preserve">работ, по указанным Заявителем в жалобе: </w:t>
      </w:r>
      <w:r>
        <w:rPr>
          <w:rStyle w:val="CharStyle15"/>
        </w:rPr>
        <w:t>«...</w:t>
      </w:r>
    </w:p>
    <w:tbl>
      <w:tblPr>
        <w:tblOverlap w:val="never"/>
        <w:tblLayout w:type="fixed"/>
        <w:jc w:val="center"/>
      </w:tblPr>
      <w:tblGrid>
        <w:gridCol w:w="725"/>
        <w:gridCol w:w="1560"/>
        <w:gridCol w:w="1699"/>
        <w:gridCol w:w="1421"/>
        <w:gridCol w:w="850"/>
        <w:gridCol w:w="1560"/>
        <w:gridCol w:w="1411"/>
        <w:gridCol w:w="1008"/>
      </w:tblGrid>
      <w:tr>
        <w:trPr>
          <w:trHeight w:val="989"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УСТАНОВЛЕННЫЕ ЗАКАЗЧИКОМ ТРЕБОВАНИЯ К МАТЕРИАЛАМ (ТОВАРАМ)</w:t>
            </w:r>
          </w:p>
        </w:tc>
        <w:tc>
          <w:tcPr>
            <w:shd w:val="clear" w:color="auto" w:fill="FFFFFF"/>
            <w:gridSpan w:val="2"/>
            <w:tcBorders>
              <w:lef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16"/>
              </w:rPr>
              <w:t>&lt;ЗАПОЛНЯЕТСЯ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2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6"/>
              </w:rPr>
              <w:t>№ п/п</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120" w:line="150" w:lineRule="exact"/>
              <w:ind w:left="200" w:right="0" w:firstLine="0"/>
            </w:pPr>
            <w:r>
              <w:rPr>
                <w:rStyle w:val="CharStyle16"/>
              </w:rPr>
              <w:t>Наименование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6"/>
              </w:rPr>
              <w:t>товара</w:t>
            </w:r>
          </w:p>
        </w:tc>
        <w:tc>
          <w:tcPr>
            <w:shd w:val="clear" w:color="auto" w:fill="FFFFFF"/>
            <w:gridSpan w:val="3"/>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6"/>
              </w:rPr>
              <w:t>Параметры эквивалентности</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Конкретные торговые марки и модели (их словесные обозначения) предлагаемого для поставки товара.</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Конкретные показатели предлагаемого товара, соответствующ ие параметрам эквивалентност и.</w:t>
            </w:r>
          </w:p>
        </w:tc>
        <w:tc>
          <w:tcPr>
            <w:shd w:val="clear" w:color="auto" w:fill="FFFFFF"/>
            <w:vMerge w:val="restart"/>
            <w:tcBorders>
              <w:left w:val="single" w:sz="4"/>
              <w:right w:val="single" w:sz="4"/>
              <w:top w:val="single" w:sz="4"/>
            </w:tcBorders>
            <w:vAlign w:val="top"/>
          </w:tcPr>
          <w:p>
            <w:pPr>
              <w:pStyle w:val="Style7"/>
              <w:framePr w:w="10234" w:wrap="notBeside" w:vAnchor="text" w:hAnchor="text" w:xAlign="center" w:y="1"/>
              <w:tabs>
                <w:tab w:leader="underscore" w:pos="874" w:val="left"/>
              </w:tabs>
              <w:widowControl w:val="0"/>
              <w:keepNext w:val="0"/>
              <w:keepLines w:val="0"/>
              <w:shd w:val="clear" w:color="auto" w:fill="auto"/>
              <w:bidi w:val="0"/>
              <w:jc w:val="left"/>
              <w:spacing w:before="0" w:after="480" w:line="274" w:lineRule="exact"/>
              <w:ind w:left="140" w:right="0" w:firstLine="100"/>
            </w:pPr>
            <w:r>
              <w:rPr>
                <w:rStyle w:val="CharStyle16"/>
              </w:rPr>
              <w:t>Страна происхожд ения товара:</w:t>
              <w:tab/>
            </w:r>
          </w:p>
          <w:p>
            <w:pPr>
              <w:pStyle w:val="Style7"/>
              <w:framePr w:w="10234" w:wrap="notBeside" w:vAnchor="text" w:hAnchor="text" w:xAlign="center" w:y="1"/>
              <w:widowControl w:val="0"/>
              <w:keepNext w:val="0"/>
              <w:keepLines w:val="0"/>
              <w:shd w:val="clear" w:color="auto" w:fill="auto"/>
              <w:bidi w:val="0"/>
              <w:jc w:val="center"/>
              <w:spacing w:before="480" w:after="0" w:line="274" w:lineRule="exact"/>
              <w:ind w:left="0" w:right="0" w:firstLine="0"/>
            </w:pPr>
            <w:r>
              <w:rPr>
                <w:rStyle w:val="CharStyle16"/>
              </w:rPr>
              <w:t>(название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страны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происхожд</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6"/>
              </w:rPr>
              <w:t>ения</w:t>
            </w:r>
          </w:p>
          <w:p>
            <w:pPr>
              <w:pStyle w:val="Style7"/>
              <w:framePr w:w="10234" w:wrap="notBeside" w:vAnchor="text" w:hAnchor="text" w:xAlign="center" w:y="1"/>
              <w:widowControl w:val="0"/>
              <w:keepNext w:val="0"/>
              <w:keepLines w:val="0"/>
              <w:shd w:val="clear" w:color="auto" w:fill="auto"/>
              <w:bidi w:val="0"/>
              <w:jc w:val="left"/>
              <w:spacing w:before="0" w:after="0" w:line="274" w:lineRule="exact"/>
              <w:ind w:left="140" w:right="0" w:firstLine="100"/>
            </w:pPr>
            <w:r>
              <w:rPr>
                <w:rStyle w:val="CharStyle16"/>
              </w:rPr>
              <w:t>товара)</w:t>
            </w:r>
          </w:p>
        </w:tc>
      </w:tr>
      <w:tr>
        <w:trPr>
          <w:trHeight w:val="253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6"/>
              </w:rPr>
              <w:t>Требуемый</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6"/>
              </w:rPr>
              <w:t>параметр</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6"/>
              </w:rPr>
              <w:t>Требуемое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6"/>
              </w:rPr>
              <w:t>значение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16"/>
              </w:rPr>
              <w:t>Ед. изм.</w:t>
            </w: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right w:val="single" w:sz="4"/>
            </w:tcBorders>
            <w:vAlign w:val="top"/>
          </w:tcPr>
          <w:p>
            <w:pPr>
              <w:framePr w:w="10234" w:wrap="notBeside" w:vAnchor="text" w:hAnchor="text" w:xAlign="center" w:y="1"/>
            </w:pPr>
          </w:p>
        </w:tc>
      </w:tr>
      <w:tr>
        <w:trPr>
          <w:trHeight w:val="29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Песок ГОСТ 8736-93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2,0-2,8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50" w:lineRule="exact"/>
              <w:ind w:left="260" w:right="0" w:firstLine="0"/>
            </w:pPr>
            <w:r>
              <w:rPr>
                <w:rStyle w:val="CharStyle17"/>
              </w:rPr>
              <w:t>г/см</w:t>
            </w:r>
            <w:r>
              <w:rPr>
                <w:rStyle w:val="CharStyle1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Полный остаток на сите диаметром 2,5 мм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10-20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Полный остаток на сите с сеткой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30-75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Полный остаток на сите с сеткой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50-90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Полный остаток на сите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90-100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Полный остаток на сите с сеткой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20-40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глины в комках и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Генетический тип пород (только для песка из отсевов дробления)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Осадочные;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эффузивные;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интрузивные;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метаморфически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Форма зерен песков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17"/>
              </w:rPr>
              <w:t>Угловатая;</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17"/>
              </w:rPr>
              <w:t>окатанная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Не должно быть &gt; 0,2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Должна быть 40-50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Должно быть не &lt;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Потеря массы при испытании щебня в сухом состоянии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Должна быть не более 14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581"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Содержание зерен слабых пород</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Должно быть не более 6</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Должно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Должно быть не более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Условная вязкость эмали по вискозиметру типа ВЗ-246 с диаметром сопла 4 мм при (20±0,5)°С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От 90 но не более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Теоретический расход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От 400, но не более 600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г/м</w:t>
            </w:r>
            <w:r>
              <w:rPr>
                <w:rStyle w:val="CharStyle17"/>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Разбавитель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Должен быть Р-4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17"/>
              </w:rPr>
              <w:t>Коэффициент</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17"/>
              </w:rPr>
              <w:t>яркости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86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40 до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Плотность</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свеженанесенного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г/см</w:t>
            </w:r>
            <w:r>
              <w:rPr>
                <w:rStyle w:val="CharStyle1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 xml:space="preserve">Адгезия к стеклу, при 20 </w:t>
            </w:r>
            <w:r>
              <w:rPr>
                <w:rStyle w:val="CharStyle17"/>
                <w:vertAlign w:val="superscript"/>
              </w:rPr>
              <w:t>о</w:t>
            </w:r>
            <w:r>
              <w:rPr>
                <w:rStyle w:val="CharStyle17"/>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7"/>
              </w:rPr>
              <w:t>Усл.</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7"/>
              </w:rPr>
              <w:t>бал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кг/мкм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Эластичность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 15 но от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Смесь бетонная, тощего дорожного бетона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7"/>
              </w:rPr>
              <w:t>Условия</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7"/>
              </w:rPr>
              <w:t>эксплуатации</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Должны соответствовать ХС4, вид</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7"/>
              </w:rPr>
              <w:t>конструкции</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7"/>
              </w:rPr>
              <w:t>неармированные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Расслаиваемость бетонной смеси по водоотделению и раствороотделению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 xml:space="preserve">Сопротивление бетона прониканию воздуха </w:t>
            </w:r>
            <w:r>
              <w:rPr>
                <w:rStyle w:val="CharStyle17"/>
                <w:lang w:val="en-US" w:eastAsia="en-US" w:bidi="en-US"/>
              </w:rPr>
              <w:t>m</w:t>
            </w:r>
            <w:r>
              <w:rPr>
                <w:rStyle w:val="CharStyle17"/>
                <w:lang w:val="en-US" w:eastAsia="en-US" w:bidi="en-US"/>
                <w:vertAlign w:val="subscript"/>
              </w:rPr>
              <w:t>c</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&gt;3,1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с/см</w:t>
            </w:r>
            <w:r>
              <w:rPr>
                <w:rStyle w:val="CharStyle1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Минимальный расход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&lt;170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кг/м</w:t>
            </w:r>
            <w:r>
              <w:rPr>
                <w:rStyle w:val="CharStyle17"/>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Тип золошлаковой смеси, используемой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Мелкозернистая</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или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среднезернистая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Параметр воздухопроницаемос ти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от 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см</w:t>
            </w:r>
            <w:r>
              <w:rPr>
                <w:rStyle w:val="CharStyle17"/>
                <w:vertAlign w:val="superscript"/>
              </w:rPr>
              <w:t>3</w:t>
            </w:r>
            <w:r>
              <w:rPr>
                <w:rStyle w:val="CharStyle17"/>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Вид и тип золы- уноса, используемой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I или II, кислые или основные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Ускоритель твердения для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Кальцинированн ый или гидратированны й хлористый кальций высшего или первого сорта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Модуль крупности песка, используемого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2,0-3,0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песка на сите с размером отверстий 0,63 мм (сетка №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Марка бетона по осадке конуса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П3</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13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Внешний вид ускорителя твердения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Чешуйки или порошок или гранулы серого или белого цвета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Предел прочности портландцемента при сжатии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&gt; 29,4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МПа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22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Массовая доля доменных гранулированных активных минеральных добавок и электротермофосфор ныхшлаков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Максимальный размер зерен шлака шлаковой составляющей золошлаковых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в песке зерен крупностью менее 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на сите с размером отверстий 0,315 мм (сетка №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Коэффициент уплотнения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Более 1,10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Содержание глины в комках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на ситах с размером отверстий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90"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на сите с размером отверстий 0,16 мм (сетка №</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85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17"/>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016)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17"/>
              </w:rPr>
              <w:t>Водопоглощение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17"/>
              </w:rPr>
              <w:t>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шлаковой составляющей в золошлаковой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на ситах с размером отверстий 1,25 (сетка №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&gt;10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Массовая доля не растворимого в воде остатка в ускорителе твердения бетонных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Массовая доля активных минеральных добавок осадочного происхождения (кроме глиежа)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До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Осадка конуса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От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Объем вовлеченного воздуха в бетонных смесях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Зерновой состав мелкого заполнителя (песка): полный остаток на сите с размером отверстий 0,14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&lt;95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в песке зерен крупностью свыше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38"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Предел прочности портландцемента при изгибе в возрасте 28 суток</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&gt;45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кгс/см</w:t>
            </w:r>
            <w:r>
              <w:rPr>
                <w:rStyle w:val="CharStyle17"/>
                <w:vertAlign w:val="superscript"/>
              </w:rPr>
              <w:t>2</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в песке зерен крупностью свыше 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Удельная поверхность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&gt;150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м</w:t>
            </w:r>
            <w:r>
              <w:rPr>
                <w:rStyle w:val="CharStyle17"/>
                <w:vertAlign w:val="superscript"/>
              </w:rPr>
              <w:t>2</w:t>
            </w:r>
            <w:r>
              <w:rPr>
                <w:rStyle w:val="CharStyle17"/>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5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Потери массы при испытании щебня при определении марки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Не более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До 35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зерен слабых пород, зерен пластинчатой и игловатой формы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Не должно превышать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Содержание пылевидных и глинистых частиц и глины в комках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17"/>
              </w:rPr>
              <w:t>&lt;1,0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17"/>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7" w:hRule="exact"/>
        </w:trPr>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pStyle w:val="Style12"/>
        <w:framePr w:w="1023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8"/>
        </w:rPr>
        <w:t>...»</w:t>
      </w:r>
      <w:r>
        <w:rPr>
          <w:lang w:val="ru-RU" w:eastAsia="ru-RU" w:bidi="ru-RU"/>
          <w:w w:val="100"/>
          <w:spacing w:val="0"/>
          <w:color w:val="000000"/>
          <w:position w:val="0"/>
        </w:rPr>
        <w:t xml:space="preserve"> (цитаты).</w:t>
      </w:r>
    </w:p>
    <w:p>
      <w:pPr>
        <w:widowControl w:val="0"/>
        <w:rPr>
          <w:sz w:val="2"/>
          <w:szCs w:val="2"/>
        </w:rPr>
      </w:pP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Учитывая приведенное, доводы Заявителя нашли свое частично подтверждение.</w:t>
      </w:r>
    </w:p>
    <w:p>
      <w:pPr>
        <w:pStyle w:val="Style7"/>
        <w:numPr>
          <w:ilvl w:val="0"/>
          <w:numId w:val="5"/>
        </w:numPr>
        <w:tabs>
          <w:tab w:leader="none" w:pos="1205"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№06/4225-17 по жалобе ООО «Размах ГП»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результатам проверки Комиссия решением от 13.11.2017 по делу №06/4225-17 признала Заказчика нарушившим требования частей 2, 4 статьи 31, частей 1, 5, 7, 8, 14 статьи 34, пункта 2 части 1 статьи 64, части 5 статьи 65, части 6 статьи 66, частей 1, 2 статьи 70, частей 19-24 статьи 95 Закона о контрактной системе, пунктов 2-10 Правил от 30.08.2017 №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Заказчику выдано предписание от 13.11.2017 по делу №06/4225-17 об устранении нарушений законодательства Российской Федерации о контрактной системе в сфере закупок, а именно при рассмотрении вторых частей заявок участников на участие в Аукционе не учитывать требований к участникам о наличии опыта исполнения контракта на выполнение работ, относящихся к той же группе работ строительных, на выполнение которых заключается контракт с учетом решения от 13.11.2017 по делу №06/4225-17, а также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№06/4225-17.</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Решением от 13.11.2017 по делу №06/4225-17 материалы дела №06/4225-17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r>
        <w:br w:type="page"/>
      </w:r>
    </w:p>
    <w:p>
      <w:pPr>
        <w:pStyle w:val="Style7"/>
        <w:numPr>
          <w:ilvl w:val="0"/>
          <w:numId w:val="9"/>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№06/4225-17.</w:t>
      </w:r>
    </w:p>
    <w:p>
      <w:pPr>
        <w:pStyle w:val="Style7"/>
        <w:numPr>
          <w:ilvl w:val="0"/>
          <w:numId w:val="9"/>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Материалы по делу №06/4253-17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№06/4225-17.</w:t>
      </w:r>
    </w:p>
    <w:p>
      <w:pPr>
        <w:pStyle w:val="Style7"/>
        <w:numPr>
          <w:ilvl w:val="0"/>
          <w:numId w:val="9"/>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№06/12709.</w:t>
      </w:r>
    </w:p>
    <w:p>
      <w:pPr>
        <w:pStyle w:val="Style7"/>
        <w:framePr w:w="2163" w:h="1929" w:wrap="around" w:vAnchor="text" w:hAnchor="margin" w:x="7715" w:y="975"/>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374" w:left="910" w:right="752" w:bottom="8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w:basedOn w:val="CharStyle13"/>
    <w:rPr>
      <w:lang w:val="ru-RU" w:eastAsia="ru-RU" w:bidi="ru-RU"/>
      <w:u w:val="single"/>
      <w:w w:val="100"/>
      <w:spacing w:val="0"/>
      <w:color w:val="000000"/>
      <w:position w:val="0"/>
    </w:rPr>
  </w:style>
  <w:style w:type="character" w:customStyle="1" w:styleId="CharStyle15">
    <w:name w:val="Подпись к таблице"/>
    <w:basedOn w:val="CharStyle13"/>
    <w:rPr>
      <w:lang w:val="ru-RU" w:eastAsia="ru-RU" w:bidi="ru-RU"/>
      <w:u w:val="single"/>
      <w:w w:val="100"/>
      <w:spacing w:val="0"/>
      <w:color w:val="000000"/>
      <w:position w:val="0"/>
    </w:rPr>
  </w:style>
  <w:style w:type="character" w:customStyle="1" w:styleId="CharStyle16">
    <w:name w:val="Основной текст + 7,5 pt,Полужирный"/>
    <w:basedOn w:val="CharStyle9"/>
    <w:rPr>
      <w:lang w:val="ru-RU" w:eastAsia="ru-RU" w:bidi="ru-RU"/>
      <w:b/>
      <w:bCs/>
      <w:sz w:val="15"/>
      <w:szCs w:val="15"/>
      <w:w w:val="100"/>
      <w:spacing w:val="0"/>
      <w:color w:val="000000"/>
      <w:position w:val="0"/>
    </w:rPr>
  </w:style>
  <w:style w:type="character" w:customStyle="1" w:styleId="CharStyle17">
    <w:name w:val="Основной текст + 7,5 pt"/>
    <w:basedOn w:val="CharStyle9"/>
    <w:rPr>
      <w:lang w:val="ru-RU" w:eastAsia="ru-RU" w:bidi="ru-RU"/>
      <w:sz w:val="15"/>
      <w:szCs w:val="15"/>
      <w:w w:val="100"/>
      <w:spacing w:val="0"/>
      <w:color w:val="000000"/>
      <w:position w:val="0"/>
    </w:rPr>
  </w:style>
  <w:style w:type="character" w:customStyle="1" w:styleId="CharStyle18">
    <w:name w:val="Подпись к таблице + Интервал 1 pt"/>
    <w:basedOn w:val="CharStyle13"/>
    <w:rPr>
      <w:lang w:val="ru-RU" w:eastAsia="ru-RU" w:bidi="ru-RU"/>
      <w:w w:val="100"/>
      <w:spacing w:val="3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w:basedOn w:val="Normal"/>
    <w:link w:val="CharStyle13"/>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