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23"/>
        <w:ind w:left="0" w:right="4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38" w:line="260" w:lineRule="exact"/>
        <w:ind w:left="0" w:right="40" w:firstLine="0"/>
      </w:pPr>
      <w:bookmarkStart w:id="0" w:name="bookmark0"/>
      <w:r>
        <w:rPr>
          <w:rStyle w:val="CharStyle8"/>
          <w:b/>
          <w:bCs/>
        </w:rPr>
        <w:t>УПРАВЛЕНИЕ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0" w:line="254" w:lineRule="exact"/>
        <w:ind w:left="0" w:right="40" w:firstLine="0"/>
      </w:pPr>
      <w:r>
        <w:rPr>
          <w:rStyle w:val="CharStyle5"/>
        </w:rPr>
        <w:t>Федеральной антимонопольной службы по Камчатскому краю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32"/>
        <w:ind w:left="0" w:right="40" w:firstLine="0"/>
      </w:pPr>
      <w:r>
        <w:rPr>
          <w:rStyle w:val="CharStyle11"/>
        </w:rPr>
        <w:t>Ленинградская ул., д. 90, Петропавловск-Камчатский, 683003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20" w:right="240" w:firstLine="0"/>
      </w:pPr>
      <w:r>
        <w:rPr>
          <w:rStyle w:val="CharStyle11"/>
        </w:rPr>
        <w:t xml:space="preserve">Тел./факс (4152) 42-58-74 Эл. почта: </w:t>
      </w:r>
      <w:r>
        <w:fldChar w:fldCharType="begin"/>
      </w:r>
      <w:r>
        <w:rPr>
          <w:rStyle w:val="CharStyle11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to41@fas.gov.ru</w:t>
      </w:r>
      <w:r>
        <w:fldChar w:fldCharType="end"/>
      </w:r>
      <w:r>
        <w:rPr>
          <w:rStyle w:val="CharStyle11"/>
          <w:lang w:val="en-US" w:eastAsia="en-US" w:bidi="en-US"/>
        </w:rPr>
        <w:t xml:space="preserve"> </w:t>
      </w:r>
      <w:r>
        <w:rPr>
          <w:rStyle w:val="CharStyle12"/>
        </w:rPr>
        <w:t>.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24" w:line="400" w:lineRule="exact"/>
        <w:ind w:left="320" w:right="0" w:firstLine="0"/>
      </w:pPr>
      <w:bookmarkStart w:id="1" w:name="bookmark1"/>
      <w:r>
        <w:rPr>
          <w:rStyle w:val="CharStyle15"/>
          <w:i/>
          <w:iCs/>
        </w:rPr>
        <w:t>77 // Яс/У</w:t>
      </w:r>
      <w:r>
        <w:rPr>
          <w:rStyle w:val="CharStyle16"/>
          <w:i w:val="0"/>
          <w:iCs w:val="0"/>
        </w:rPr>
        <w:t xml:space="preserve"> </w:t>
      </w:r>
      <w:r>
        <w:rPr>
          <w:rStyle w:val="CharStyle17"/>
          <w:i w:val="0"/>
          <w:iCs w:val="0"/>
        </w:rPr>
        <w:t>№</w:t>
      </w:r>
      <w:bookmarkEnd w:id="1"/>
    </w:p>
    <w:p>
      <w:pPr>
        <w:pStyle w:val="Style9"/>
        <w:tabs>
          <w:tab w:leader="underscore" w:pos="2317" w:val="right"/>
          <w:tab w:leader="hyphen" w:pos="38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0" w:right="0" w:firstLine="0"/>
      </w:pPr>
      <w:r>
        <w:rPr>
          <w:rStyle w:val="CharStyle11"/>
        </w:rPr>
        <w:t>На №</w:t>
        <w:tab/>
        <w:t>от</w:t>
        <w:tab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32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Паратунского сельского поселения Елизовского муниципального района ул. Нагорная, д. 31, с. Паратунка, Елизовский район, Камчатский край, 684034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«Недра Сибири»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Загородная, 79Б, г. Улан-Удэ,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94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Республика Бурятия, 670031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442" w:left="951" w:right="1599" w:bottom="1432" w:header="0" w:footer="3" w:gutter="0"/>
          <w:rtlGutter w:val="0"/>
          <w:cols w:num="2" w:space="108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ЗАО «Сбербанк-АСТ»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3" w:after="1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2" w:line="230" w:lineRule="exact"/>
        <w:ind w:left="4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57" w:line="230" w:lineRule="exact"/>
        <w:ind w:left="3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21-06/263-17Ж</w:t>
      </w:r>
    </w:p>
    <w:p>
      <w:pPr>
        <w:pStyle w:val="Style20"/>
        <w:tabs>
          <w:tab w:leader="none" w:pos="60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27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 ноября 2017 года</w:t>
        <w:tab/>
        <w:t>г. Петропавловск-Камчатский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4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по контролю в сфере закупок (далее - Комиссия) в составе: Председателя Комиссии - руководителя управления Светлова И.А., членов Комиссии: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начальника отдела антимонопольного контроля и закупок Парфирьевой С.Н., главного специалиста-эксперта отдела антимонопольного контроля и закупок Ермоловой О.В.,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антимонопольного контроля и закупок ЕромоваС.А.,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представителей: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- Администрации Паратунского селького поселения Елизовского муниципального района (далее - Заказчик), уведомленного о времени и месте рассмотрения жалобы по адресу электронной почты и представившего ходатайство о рассмотрении дела в его отсутствие,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22" w:line="293" w:lineRule="exact"/>
        <w:ind w:left="2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заявителя </w:t>
      </w:r>
      <w:r>
        <w:rPr>
          <w:rStyle w:val="CharStyle22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общества с ограниченной ответственностью «Перспектива» (далее - ООО «Перспектива», Заявитель), уведомленного о времени и месте рассмотрения жалобы по адресу электронной почты,</w:t>
      </w:r>
    </w:p>
    <w:p>
      <w:pPr>
        <w:pStyle w:val="Style23"/>
        <w:tabs>
          <w:tab w:leader="none" w:pos="9618" w:val="right"/>
        </w:tabs>
        <w:widowControl w:val="0"/>
        <w:keepNext/>
        <w:keepLines/>
        <w:shd w:val="clear" w:color="auto" w:fill="auto"/>
        <w:bidi w:val="0"/>
        <w:spacing w:before="0" w:after="0" w:line="340" w:lineRule="exact"/>
        <w:ind w:left="7900" w:right="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028521</w:t>
      </w:r>
      <w:r>
        <w:rPr>
          <w:rStyle w:val="CharStyle25"/>
          <w:b w:val="0"/>
          <w:bCs w:val="0"/>
        </w:rPr>
        <w:tab/>
        <w:t>*</w:t>
      </w:r>
      <w:bookmarkEnd w:id="2"/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414" w:line="29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Заявителя на действия Заказчика при определении подрядчика путем проведения электронного аукциона (далее - ЭА) на выполнение работ по ремонту систем холодного водоснабжения по ул. Нагорная в с. Паратунка (закупка № 0138300001717000053),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374" w:line="230" w:lineRule="exact"/>
        <w:ind w:left="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начата процедура определения подрядчика путем ЭА на выполнение работ по ремонту систем холодного водоснабжения по ул. Нагорная в с. Паратунка (закупка № 0138300001717000053) (далее - Закупка); начальная (максимальная) цена контракта установлена в размере 17 067 037,00 рублей. Извещение и документация о Закупке размещены в Единой информационной системе 25.10.2017.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08.11.2017 в Камчатское УФАС России поступила жалоба ООО «Недра Сибири». По мнению Заявителя, положения документации о Закупке не соответствуют требованиям Закона о контрактной системе, а именно: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проекте контракта (пункт 1.З.), документации об ЭА (пункт 12) и Техническом задании (пункт 5.1.) Заказчик указал разные сроки выполнения работ;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проекте контракта (пункт 10.1.) содержится информация о порядке предоставления обеспечения исполнения контракта в нарушение положений статьи 37 Закона о контрактной системе;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6" w:line="293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проекте контракта не указан идентификационный код закупки, в нарушение части 1 статьи 23 Закона о контрактной системе.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248" w:line="298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представил пояснения (письмо от 13.11.2017 № 938), в которых указал, что документация об ЭА соответствует законодательству о контрактной системе, частью 1 статьи 23 Закона о контрактной системе определено требование об указании идентификационного кода закупки непосредственно в контракте, в связи с чем в проекте контракта данное требование к участникам Закупки Заказчиком не установлено.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236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20"/>
        <w:numPr>
          <w:ilvl w:val="0"/>
          <w:numId w:val="5"/>
        </w:numPr>
        <w:tabs>
          <w:tab w:leader="none" w:pos="10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части 1 статьи 64 Закона о контрактной системе документация об электронном аукционе должна содержать информацию, указанную в извещении о проведении такого аукциона.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5 статьи 63 Закона о контрактной системе извещение о проведении электронного аукциона должно содержать информацию, указанную в статье 42 данного закона.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244" w:line="298" w:lineRule="exact"/>
        <w:ind w:left="6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2 статьи 42 Закона о контрактной системе извещение об осуществлении закупки должно содержаться краткое изложение условий контракта, содержащее наименование и описание объекта закупки с учетом требований, предусмотренных статьей 33 данного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</w:t>
      </w:r>
      <w:r>
        <w:rPr>
          <w:rStyle w:val="CharStyle26"/>
        </w:rPr>
        <w:t>сроки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поставки товара или </w:t>
      </w:r>
      <w:r>
        <w:rPr>
          <w:rStyle w:val="CharStyle26"/>
        </w:rPr>
        <w:t>завершения работы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либо график оказания услуг, начальная (максимальная) цена контракта, источник финансирования.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6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Срок выполнения работ установлен Заказчиком: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извещении о проведении ЭА - октябрь-ноябрь 2017 года;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документации об ЭА (пункт 12) -10.12.2017;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Техническом задании (пункт 5.1) - 25 календарных дней с даты начала работ;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проекте контракта (пункт 1.3) - с даты заключения контракта до 20.11.2017.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6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пришла к выводу о том, что действия Заказчика, установившего в документации об ЭА, извещении о проведении ЭА противоречивое требование к сроку выполнения работ </w:t>
      </w:r>
      <w:r>
        <w:rPr>
          <w:rStyle w:val="CharStyle27"/>
        </w:rPr>
        <w:t xml:space="preserve">нарушают часть 1 статьи 64 Закона о контрактной системе,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что содержит признаки административного правонарушения, ответственность за совершение которого предусмотрена частью 4.2 статьи 7.30 Кодекса Российской Федерации об административных правонарушениях.</w:t>
      </w:r>
    </w:p>
    <w:p>
      <w:pPr>
        <w:pStyle w:val="Style20"/>
        <w:numPr>
          <w:ilvl w:val="0"/>
          <w:numId w:val="5"/>
        </w:numPr>
        <w:tabs>
          <w:tab w:leader="none" w:pos="9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1 статьи 96 Закона о контрактной системе заказчиком </w:t>
      </w:r>
      <w:r>
        <w:rPr>
          <w:rStyle w:val="CharStyle26"/>
        </w:rPr>
        <w:t>в извещении об осуществлении закупки, документации о закупке, проекте контракта,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приглашении принять участие в определении поставщика (подрядчика, исполнителя) закрытым способом </w:t>
      </w:r>
      <w:r>
        <w:rPr>
          <w:rStyle w:val="CharStyle26"/>
        </w:rPr>
        <w:t>должно быть установлено требование обеспечения исполнения контракта.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части 6 статьи 96 Закона о контрактной системе размер обеспечения исполнения контракта должен составлять от пяти до тридцати процентов начальной (максимальной) цены контракта, указанной в извещении об осуществлении закупки. В случае, если начальная (максимальная) цена контракта превышает пятьдесят миллионов рублей, заказчик обязан установить требование обеспечения исполнения контракта в размере от десяти до тридцати процентов начальной (максимальной) цены контракта, но не менее чем в размере аванса (если контрактом предусмотрена выплата аванса). В случае, если аванс превышает тридцать процентов начальной (максимальной) цены контракта, размер обеспечения исполнения контракта устанавливается в размере аванса. </w:t>
      </w:r>
      <w:r>
        <w:rPr>
          <w:rStyle w:val="CharStyle26"/>
        </w:rPr>
        <w:t>В случае, если предложенная в заявке участника закупки цена снижена на двадцать пять и более процентов по отношению к начальной (максилшльной) цене контракта, участник закупки, с которым, заключается контракт, предоставляет обеспечение исполнения контракта с учетом, положений статьи 37 данного Федерального закона.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60" w:right="40"/>
      </w:pPr>
      <w:r>
        <w:rPr>
          <w:rStyle w:val="CharStyle30"/>
          <w:i w:val="0"/>
          <w:iCs w:val="0"/>
        </w:rPr>
        <w:t xml:space="preserve">Согласно части 1 статьи 37 Закона о контрактной системе,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если при проведении</w:t>
      </w:r>
      <w:r>
        <w:rPr>
          <w:rStyle w:val="CharStyle30"/>
          <w:i w:val="0"/>
          <w:iCs w:val="0"/>
        </w:rPr>
        <w:t xml:space="preserve"> конкурса 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аукциона начальная (максимальная) цена контракта составляет более чем пятнадцать миллионов рублей и участником закупки, с которым,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участником, обеспечения исполнения контракта в размере, превышающем в полтора раза размер обеспечения исполнения контракта</w:t>
      </w:r>
      <w:r>
        <w:rPr>
          <w:rStyle w:val="CharStyle30"/>
          <w:i w:val="0"/>
          <w:iCs w:val="0"/>
        </w:rPr>
        <w:t>, указанный в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240"/>
        <w:ind w:left="20" w:right="20"/>
      </w:pPr>
      <w:r>
        <w:rPr>
          <w:rStyle w:val="CharStyle30"/>
          <w:i w:val="0"/>
          <w:iCs w:val="0"/>
        </w:rPr>
        <w:t xml:space="preserve">В соответствии с частью 2 статьи 37 Закона о контрактной системе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если при проведении</w:t>
      </w:r>
      <w:r>
        <w:rPr>
          <w:rStyle w:val="CharStyle30"/>
          <w:i w:val="0"/>
          <w:iCs w:val="0"/>
        </w:rPr>
        <w:t xml:space="preserve"> конкурса 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аукциона начальная (максимальная) цена контракта составляет пятнадцать миллионов рублей и менее</w:t>
      </w:r>
      <w:r>
        <w:rPr>
          <w:rStyle w:val="CharStyle30"/>
          <w:i w:val="0"/>
          <w:iCs w:val="0"/>
        </w:rPr>
        <w:t xml:space="preserve">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контракт заключается только после предоставления таким участником обеспечения исполнения контракта в размере, указанном в части I настоящей статьи, или информации, подтверждающей добросовестность такого участника на дату подачи заявки</w:t>
      </w:r>
      <w:r>
        <w:rPr>
          <w:rStyle w:val="CharStyle30"/>
          <w:i w:val="0"/>
          <w:iCs w:val="0"/>
        </w:rPr>
        <w:t xml:space="preserve"> в соответствии с частью 3 настоящей статьи.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извещении о проведении ЭА указано, что если участником закупки, с которым заключается контракт, предложена цена контракта, которая на 25 % и более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контракта, указанный в документации об ЭА.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30"/>
          <w:i w:val="0"/>
          <w:iCs w:val="0"/>
        </w:rPr>
        <w:t xml:space="preserve">В пункте 10.1. проекта контракта указано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«...(В случае, если предложенная «Подрядчиком» цена Контракта снижена на двадцать пять и более процентов по отношению к начальной (максимальной) цене Контракта, «Подрядчик» предоставляет обеспечение исполнения Контракта в порядке, установленном ч. 2 ст. 37 Федерального закона № 44-ФЗ».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по Закупке составляет более чем 15 млн. рублей (17 067 037,00 рублей).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в проекте контракта указание на возможность предоставления участником Закупки в качестве обеспечения исполнения контракта информации, подтверждающей добросовестность, не соответствует части 1 статьи 37 Закона о контрактной системе, </w:t>
      </w:r>
      <w:r>
        <w:rPr>
          <w:rStyle w:val="CharStyle27"/>
        </w:rPr>
        <w:t>в нарушение части 6 статьи 96 Закона о контрактной системе.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244" w:line="298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Данное нарушение содержит признаки административного правонарушения, ответственность за совершение которого предусмотрена частью 4.2 статьи 7.30 Кодекса Российской Федерации об административных правонарушениях.</w:t>
      </w:r>
    </w:p>
    <w:p>
      <w:pPr>
        <w:pStyle w:val="Style20"/>
        <w:numPr>
          <w:ilvl w:val="0"/>
          <w:numId w:val="5"/>
        </w:numPr>
        <w:tabs>
          <w:tab w:leader="none" w:pos="10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части 1 статьи 23 Закона о контрактной системе </w:t>
      </w:r>
      <w:r>
        <w:rPr>
          <w:rStyle w:val="CharStyle26"/>
        </w:rPr>
        <w:t>итдентификационный код закупки указывается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плане закупок, плане-графике, </w:t>
      </w:r>
      <w:r>
        <w:rPr>
          <w:rStyle w:val="CharStyle26"/>
        </w:rPr>
        <w:t>извещении об осуществлении закупки,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приглашении принять участие в определении поставщика (подрядчика, исполнителя), осуществляемом закрытым способом, документации о закупке, </w:t>
      </w:r>
      <w:r>
        <w:rPr>
          <w:rStyle w:val="CharStyle26"/>
        </w:rPr>
        <w:t>в контракте,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 также в иных документах, предусмотренных данным Федеральным законом.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извещении о проведении ЭА Заказчик указал итдентификационный код закупки (далее - ИКЗ) 173410502963941050100100150010000244.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проекте контракта указание на ИКЗ не содержится.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Поскольку часть 1 статьи 23 Закона о контрактной системе содержит требование об указании ИКЗ непосредственно </w:t>
      </w:r>
      <w:r>
        <w:rPr>
          <w:rStyle w:val="CharStyle26"/>
        </w:rPr>
        <w:t>в контракте,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следовательно, не указание ИКЗ </w:t>
      </w:r>
      <w:r>
        <w:rPr>
          <w:rStyle w:val="CharStyle26"/>
        </w:rPr>
        <w:t>в проекте контракта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противоречит части 1 данной статьи.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о том, что в проекте контракта не указание ИКЗ не соответствует положениям Закона о контрактной системе, не нашел своего подтверждения.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298" w:line="30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системе, Административным регламентом, утвержденным приказом ФАС России от 19.11.2014 № 727/14, Комиссия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322" w:line="230" w:lineRule="exact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0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обоснованной в части указания в извещении, документации об ЭА противоречивых сведений о сроке выполнения работ и указания в проекте контракта информации о порядке предоставления обеспечения исполнения контракта не в соответствии с положениями части 1 статьи 37 Закона о контрактной системе.</w:t>
      </w:r>
    </w:p>
    <w:p>
      <w:pPr>
        <w:pStyle w:val="Style20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нарушения части 1 статьи 64, части 6 статьи 96 Закона о контрактной системе.</w:t>
      </w:r>
    </w:p>
    <w:p>
      <w:pPr>
        <w:pStyle w:val="Style20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предписание об устранении выявленных нарушений Закона о контрактной системе.</w:t>
      </w:r>
    </w:p>
    <w:p>
      <w:pPr>
        <w:pStyle w:val="Style20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8" w:line="298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о выявленных нарушениях должностному лицу, уполномоченному рассматривать дела об административных правонарушениях, для рассмотрения вопроса о возбуждении административного производства в отношении должностного лица Заказчика.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466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55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74" w:line="230" w:lineRule="exact"/>
        <w:ind w:left="20" w:right="0" w:firstLine="0"/>
        <w:sectPr>
          <w:type w:val="continuous"/>
          <w:pgSz w:w="11906" w:h="16838"/>
          <w:pgMar w:top="650" w:left="951" w:right="951" w:bottom="1293" w:header="0" w:footer="3" w:gutter="125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23"/>
        <w:ind w:left="0" w:right="4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40" w:firstLine="0"/>
      </w:pPr>
      <w:bookmarkStart w:id="3" w:name="bookmark3"/>
      <w:r>
        <w:rPr>
          <w:rStyle w:val="CharStyle8"/>
          <w:b/>
          <w:bCs/>
        </w:rPr>
        <w:t>УПРАВЛЕНИЕ</w:t>
      </w:r>
      <w:bookmarkEnd w:id="3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40" w:firstLine="0"/>
      </w:pPr>
      <w:r>
        <w:rPr>
          <w:rStyle w:val="CharStyle5"/>
        </w:rPr>
        <w:t>Федеральной антимонопольной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5" w:line="230" w:lineRule="exact"/>
        <w:ind w:left="0" w:right="40" w:firstLine="0"/>
      </w:pPr>
      <w:r>
        <w:rPr>
          <w:rStyle w:val="CharStyle5"/>
        </w:rPr>
        <w:t>службы по Камчатскому краю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72"/>
        <w:ind w:left="0" w:right="40" w:firstLine="0"/>
      </w:pPr>
      <w:r>
        <w:rPr>
          <w:rStyle w:val="CharStyle11"/>
        </w:rPr>
        <w:t>Ленинградская ул., д. 90, Петропавловск-Камчатский, 683003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4" w:line="240" w:lineRule="exact"/>
        <w:ind w:left="820" w:right="260" w:firstLine="0"/>
      </w:pPr>
      <w:r>
        <w:rPr>
          <w:rStyle w:val="CharStyle11"/>
        </w:rPr>
        <w:t xml:space="preserve">Тел./факс (4152) 42-58-74 Эл. почта: </w:t>
      </w:r>
      <w:r>
        <w:fldChar w:fldCharType="begin"/>
      </w:r>
      <w:r>
        <w:rPr>
          <w:rStyle w:val="CharStyle11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to41@fas.gov.ru</w:t>
      </w:r>
      <w:r>
        <w:fldChar w:fldCharType="end"/>
      </w:r>
      <w:r>
        <w:rPr>
          <w:rStyle w:val="CharStyle11"/>
          <w:lang w:val="en-US" w:eastAsia="en-US" w:bidi="en-US"/>
        </w:rPr>
        <w:t xml:space="preserve"> </w:t>
      </w:r>
      <w:r>
        <w:rPr>
          <w:rStyle w:val="CharStyle12"/>
        </w:rPr>
        <w:t>/</w:t>
      </w:r>
    </w:p>
    <w:p>
      <w:pPr>
        <w:pStyle w:val="Style31"/>
        <w:tabs>
          <w:tab w:leader="none" w:pos="354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420" w:right="0" w:firstLine="0"/>
      </w:pPr>
      <w:bookmarkStart w:id="4" w:name="bookmark4"/>
      <w:r>
        <w:rPr>
          <w:rStyle w:val="CharStyle33"/>
          <w:i/>
          <w:iCs/>
        </w:rPr>
        <w:t xml:space="preserve">/У </w:t>
      </w:r>
      <w:r>
        <w:rPr>
          <w:rStyle w:val="CharStyle33"/>
          <w:lang w:val="en-US" w:eastAsia="en-US" w:bidi="en-US"/>
          <w:i/>
          <w:iCs/>
        </w:rPr>
        <w:t>f</w:t>
      </w:r>
      <w:r>
        <w:rPr>
          <w:rStyle w:val="CharStyle33"/>
          <w:i/>
          <w:iCs/>
        </w:rPr>
        <w:t>/ЯсП</w:t>
      </w:r>
      <w:r>
        <w:rPr>
          <w:rStyle w:val="CharStyle34"/>
          <w:i w:val="0"/>
          <w:iCs w:val="0"/>
        </w:rPr>
        <w:t xml:space="preserve"> </w:t>
      </w:r>
      <w:r>
        <w:rPr>
          <w:rStyle w:val="CharStyle35"/>
          <w:i w:val="0"/>
          <w:iCs w:val="0"/>
        </w:rPr>
        <w:t>№</w:t>
        <w:tab/>
      </w:r>
      <w:r>
        <w:rPr>
          <w:rStyle w:val="CharStyle36"/>
          <w:i/>
          <w:iCs/>
        </w:rPr>
        <w:t>£/о£</w:t>
      </w:r>
      <w:bookmarkEnd w:id="4"/>
    </w:p>
    <w:p>
      <w:pPr>
        <w:pStyle w:val="Style9"/>
        <w:tabs>
          <w:tab w:leader="underscore" w:pos="2302" w:val="right"/>
          <w:tab w:leader="hyphen" w:pos="38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180" w:right="0" w:firstLine="0"/>
      </w:pPr>
      <w:r>
        <w:rPr>
          <w:rStyle w:val="CharStyle11"/>
        </w:rPr>
        <w:t>На №</w:t>
        <w:tab/>
        <w:t>от</w:t>
        <w:tab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32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Паратунского сельского поселения Елизовского муниципального района ул. Нагорная, д. 31, с. Паратунка, Елизовский район, Камчатский край, 684034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«Недра Сибири»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Загородная, 79Б, г. Улан-Удэ,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type w:val="continuous"/>
          <w:pgSz w:w="11906" w:h="16838"/>
          <w:pgMar w:top="1472" w:left="985" w:right="1575" w:bottom="1467" w:header="0" w:footer="3" w:gutter="0"/>
          <w:rtlGutter w:val="0"/>
          <w:cols w:num="2" w:space="108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Республика Бурятия, 670031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50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788" w:line="293" w:lineRule="exact"/>
        <w:ind w:left="5080" w:right="7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ЗАО «Сбербанк-АСТ»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0" w:line="283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283" w:line="283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№21-06/263-17Ж об устранении нарушений законодательства в сфере закупок</w:t>
      </w:r>
    </w:p>
    <w:p>
      <w:pPr>
        <w:pStyle w:val="Style20"/>
        <w:tabs>
          <w:tab w:leader="none" w:pos="6092" w:val="center"/>
          <w:tab w:leader="none" w:pos="93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7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 ноября 2017 года</w:t>
        <w:tab/>
        <w:t>г.</w:t>
        <w:tab/>
        <w:t>Петропавловск-Камчатский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2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руководителя управления Светлова И.А., членов Комиссии: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начальника отдела антимонопольного контроля и закупок Парфирьевой С.Н., главного специалиста-эксперта отдела антимонопольного контроля и закупок Ермоловой О.В.,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антимонопольного контроля и закупок Еромова С.А.,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315" w:line="283" w:lineRule="exact"/>
        <w:ind w:left="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14.11.2017 по делу № 21-06/263-17Ж, принятого Комиссией по результатам рассмотрения жалобы ООО «Недра Сибири» на действия Заказчика при определении подрядчика путем электронного аукциона на выполнение работ по ремонту систем холодного водоснабжения по ул. Нагорная в с. Паратунка (закупка № 0138300001717000053),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23"/>
        <w:tabs>
          <w:tab w:leader="none" w:pos="9569" w:val="right"/>
        </w:tabs>
        <w:widowControl w:val="0"/>
        <w:keepNext/>
        <w:keepLines/>
        <w:shd w:val="clear" w:color="auto" w:fill="auto"/>
        <w:bidi w:val="0"/>
        <w:spacing w:before="0" w:after="0" w:line="340" w:lineRule="exact"/>
        <w:ind w:left="7860" w:right="0" w:firstLine="0"/>
      </w:pPr>
      <w:bookmarkStart w:id="5" w:name="bookmark5"/>
      <w:r>
        <w:rPr>
          <w:lang w:val="ru-RU" w:eastAsia="ru-RU" w:bidi="ru-RU"/>
          <w:w w:val="100"/>
          <w:color w:val="000000"/>
          <w:position w:val="0"/>
        </w:rPr>
        <w:t>028520</w:t>
      </w:r>
      <w:r>
        <w:rPr>
          <w:rStyle w:val="CharStyle25"/>
          <w:b w:val="0"/>
          <w:bCs w:val="0"/>
        </w:rPr>
        <w:tab/>
        <w:t>*</w:t>
      </w:r>
      <w:bookmarkEnd w:id="5"/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27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281" w:line="274" w:lineRule="exact"/>
        <w:ind w:left="0" w:right="6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- Администрации Паратунского сельского поселения Елизовского муниципального района:</w:t>
      </w:r>
    </w:p>
    <w:p>
      <w:pPr>
        <w:pStyle w:val="Style20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срок до 24 ноября 2017 года устранить нарушения части 1 статьи 64, части 6 статьи 96 Закона о контрактной системе, а именно: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пункте 1.3 проекта контракта установить срок выполнения работ в соответствии с Техническим заданием: «25 календарных дней с даты начала работ»;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пункте 10.1 проекта контракта установить требование о предоставлении обеспечение исполнения контракта в соответствии с частью 1 статьи 37 Закона о контрактной системе.</w:t>
      </w:r>
    </w:p>
    <w:p>
      <w:pPr>
        <w:pStyle w:val="Style20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4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срок до 30 ноября 2017 года представить в Камчатское У ФАС России подтверждение исполнения настоящего предписания по факсимильной связи 425874 или по адресу электронной почты </w:t>
      </w:r>
      <w:r>
        <w:fldChar w:fldCharType="begin"/>
      </w:r>
      <w:r>
        <w:rPr>
          <w:rStyle w:val="CharStyle37"/>
        </w:rPr>
        <w:instrText> HYPERLINK "mailto:to41@fas.gov.ru" </w:instrText>
      </w:r>
      <w:r>
        <w:fldChar w:fldCharType="separate"/>
      </w:r>
      <w:r>
        <w:rPr>
          <w:rStyle w:val="Hyperlink"/>
        </w:rPr>
        <w:t>to41@fas.gov.ru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досылкой почтовым отправлением.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406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течение трех месяцев со дня его выдачи.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92" w:line="230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</w:t>
      </w:r>
    </w:p>
    <w:p>
      <w:pPr>
        <w:pStyle w:val="Style2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подлежит исполнению в установленный данным предписанием срок.</w:t>
      </w:r>
    </w:p>
    <w:p>
      <w:pPr>
        <w:pStyle w:val="Style2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95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Неисполнение в срок предписания влечет за собой последствия,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54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43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1804" w:left="985" w:right="985" w:bottom="1799" w:header="0" w:footer="3" w:gutter="120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3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Заголовок №3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 w:val="0"/>
      <w:bCs w:val="0"/>
      <w:i/>
      <w:iCs/>
      <w:u w:val="none"/>
      <w:strike w:val="0"/>
      <w:smallCaps w:val="0"/>
      <w:sz w:val="40"/>
      <w:szCs w:val="40"/>
      <w:rFonts w:ascii="Franklin Gothic Medium" w:eastAsia="Franklin Gothic Medium" w:hAnsi="Franklin Gothic Medium" w:cs="Franklin Gothic Medium"/>
    </w:rPr>
  </w:style>
  <w:style w:type="character" w:customStyle="1" w:styleId="CharStyle15">
    <w:name w:val="Заголовок №1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Заголовок №1 + 11 pt,Не курсив"/>
    <w:basedOn w:val="CharStyle14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7">
    <w:name w:val="Заголовок №1 + 11 pt,Не курсив"/>
    <w:basedOn w:val="CharStyle14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9">
    <w:name w:val="Основной текст (4)_"/>
    <w:basedOn w:val="DefaultParagraphFont"/>
    <w:link w:val="Style1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сновной текст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Основной текст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Заголовок №2_"/>
    <w:basedOn w:val="DefaultParagraphFont"/>
    <w:link w:val="Style23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30"/>
    </w:rPr>
  </w:style>
  <w:style w:type="character" w:customStyle="1" w:styleId="CharStyle25">
    <w:name w:val="Заголовок №2 + 17 pt,Не полужирный,Интервал 0 pt"/>
    <w:basedOn w:val="CharStyle24"/>
    <w:rPr>
      <w:lang w:val="ru-RU" w:eastAsia="ru-RU" w:bidi="ru-RU"/>
      <w:b/>
      <w:bCs/>
      <w:sz w:val="34"/>
      <w:szCs w:val="34"/>
      <w:w w:val="100"/>
      <w:spacing w:val="0"/>
      <w:color w:val="000000"/>
      <w:position w:val="0"/>
    </w:rPr>
  </w:style>
  <w:style w:type="character" w:customStyle="1" w:styleId="CharStyle26">
    <w:name w:val="Основной текст + Курсив"/>
    <w:basedOn w:val="CharStyle2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7">
    <w:name w:val="Основной текст + Полужирный"/>
    <w:basedOn w:val="CharStyle2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9">
    <w:name w:val="Основной текст (5)_"/>
    <w:basedOn w:val="DefaultParagraphFont"/>
    <w:link w:val="Style28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0">
    <w:name w:val="Основной текст (5) + Не курсив"/>
    <w:basedOn w:val="CharStyle29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2">
    <w:name w:val="Основной текст (6)_"/>
    <w:basedOn w:val="DefaultParagraphFont"/>
    <w:link w:val="Style31"/>
    <w:rPr>
      <w:b w:val="0"/>
      <w:bCs w:val="0"/>
      <w:i/>
      <w:iCs/>
      <w:u w:val="none"/>
      <w:strike w:val="0"/>
      <w:smallCaps w:val="0"/>
      <w:sz w:val="26"/>
      <w:szCs w:val="26"/>
      <w:rFonts w:ascii="Franklin Gothic Medium" w:eastAsia="Franklin Gothic Medium" w:hAnsi="Franklin Gothic Medium" w:cs="Franklin Gothic Medium"/>
    </w:rPr>
  </w:style>
  <w:style w:type="character" w:customStyle="1" w:styleId="CharStyle33">
    <w:name w:val="Основной текст (6)"/>
    <w:basedOn w:val="CharStyle3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4">
    <w:name w:val="Основной текст (6) + 11 pt,Не курсив"/>
    <w:basedOn w:val="CharStyle32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35">
    <w:name w:val="Основной текст (6) + 11 pt,Не курсив"/>
    <w:basedOn w:val="CharStyle32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36">
    <w:name w:val="Основной текст (6)"/>
    <w:basedOn w:val="CharStyle3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7">
    <w:name w:val="Основной текст"/>
    <w:basedOn w:val="CharStyle21"/>
    <w:rPr>
      <w:lang w:val="en-US" w:eastAsia="en-US" w:bidi="en-US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420" w:line="26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Заголовок №3"/>
    <w:basedOn w:val="Normal"/>
    <w:link w:val="CharStyle7"/>
    <w:pPr>
      <w:widowControl w:val="0"/>
      <w:shd w:val="clear" w:color="auto" w:fill="FFFFFF"/>
      <w:jc w:val="center"/>
      <w:outlineLvl w:val="2"/>
      <w:spacing w:before="420" w:after="1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20" w:after="120" w:line="25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before="120" w:after="120" w:line="0" w:lineRule="exact"/>
    </w:pPr>
    <w:rPr>
      <w:b w:val="0"/>
      <w:bCs w:val="0"/>
      <w:i/>
      <w:iCs/>
      <w:u w:val="none"/>
      <w:strike w:val="0"/>
      <w:smallCaps w:val="0"/>
      <w:sz w:val="40"/>
      <w:szCs w:val="40"/>
      <w:rFonts w:ascii="Franklin Gothic Medium" w:eastAsia="Franklin Gothic Medium" w:hAnsi="Franklin Gothic Medium" w:cs="Franklin Gothic Medium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spacing w:line="28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FFFFFF"/>
      <w:spacing w:after="240" w:line="28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Заголовок №2"/>
    <w:basedOn w:val="Normal"/>
    <w:link w:val="CharStyle24"/>
    <w:pPr>
      <w:widowControl w:val="0"/>
      <w:shd w:val="clear" w:color="auto" w:fill="FFFFFF"/>
      <w:jc w:val="both"/>
      <w:outlineLvl w:val="1"/>
      <w:spacing w:before="66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30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FFFFFF"/>
      <w:jc w:val="both"/>
      <w:spacing w:line="298" w:lineRule="exact"/>
      <w:ind w:firstLine="54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Franklin Gothic Medium" w:eastAsia="Franklin Gothic Medium" w:hAnsi="Franklin Gothic Medium" w:cs="Franklin Gothic Medium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