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92" w:y="1151"/>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92" w:y="1151"/>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92" w:y="1151"/>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1075" w:after="0"/>
        <w:ind w:left="20" w:right="0" w:firstLine="0"/>
      </w:pPr>
      <w:r>
        <w:rPr>
          <w:lang w:val="ru-RU" w:eastAsia="ru-RU" w:bidi="ru-RU"/>
          <w:w w:val="100"/>
          <w:spacing w:val="0"/>
          <w:color w:val="000000"/>
          <w:position w:val="0"/>
        </w:rPr>
        <w:t xml:space="preserve"> Заказчик:</w:t>
      </w:r>
    </w:p>
    <w:p>
      <w:pPr>
        <w:pStyle w:val="Style7"/>
        <w:framePr w:w="2848" w:h="1122" w:wrap="around" w:vAnchor="text" w:hAnchor="margin" w:x="44" w:y="867"/>
        <w:widowControl w:val="0"/>
        <w:keepNext w:val="0"/>
        <w:keepLines w:val="0"/>
        <w:shd w:val="clear" w:color="auto" w:fill="auto"/>
        <w:bidi w:val="0"/>
        <w:jc w:val="both"/>
        <w:spacing w:before="0" w:after="0" w:line="562" w:lineRule="exact"/>
        <w:ind w:left="20" w:right="220" w:firstLine="0"/>
      </w:pPr>
      <w:r>
        <w:rPr>
          <w:rStyle w:val="CharStyle8"/>
          <w:spacing w:val="0"/>
        </w:rPr>
        <w:t>10.11.2017 №06/12891 На № б/н от 07.11.2017</w:t>
      </w:r>
    </w:p>
    <w:p>
      <w:pPr>
        <w:pStyle w:val="Style7"/>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Государственное бюджетное учреждение здравоохранения Республики Крым "Бахчисарайская центральная районная больница"</w:t>
      </w:r>
    </w:p>
    <w:p>
      <w:pPr>
        <w:pStyle w:val="Style7"/>
        <w:widowControl w:val="0"/>
        <w:keepNext w:val="0"/>
        <w:keepLines w:val="0"/>
        <w:shd w:val="clear" w:color="auto" w:fill="auto"/>
        <w:bidi w:val="0"/>
        <w:jc w:val="left"/>
        <w:spacing w:before="0" w:after="300"/>
        <w:ind w:left="2200" w:right="320" w:firstLine="0"/>
      </w:pPr>
      <w:r>
        <w:rPr>
          <w:lang w:val="ru-RU" w:eastAsia="ru-RU" w:bidi="ru-RU"/>
          <w:w w:val="100"/>
          <w:spacing w:val="0"/>
          <w:color w:val="000000"/>
          <w:position w:val="0"/>
        </w:rPr>
        <w:t>298400, Республика Крым, г. Бахчисарай, ул. Советская, 13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«А Строй»</w:t>
      </w:r>
    </w:p>
    <w:p>
      <w:pPr>
        <w:pStyle w:val="Style7"/>
        <w:widowControl w:val="0"/>
        <w:keepNext w:val="0"/>
        <w:keepLines w:val="0"/>
        <w:shd w:val="clear" w:color="auto" w:fill="auto"/>
        <w:bidi w:val="0"/>
        <w:jc w:val="left"/>
        <w:spacing w:before="0" w:after="289"/>
        <w:ind w:left="4980" w:right="980" w:firstLine="0"/>
      </w:pPr>
      <w:r>
        <w:rPr>
          <w:lang w:val="ru-RU" w:eastAsia="ru-RU" w:bidi="ru-RU"/>
          <w:w w:val="100"/>
          <w:spacing w:val="0"/>
          <w:color w:val="000000"/>
          <w:position w:val="0"/>
        </w:rPr>
        <w:t>630007, г. Новосибирск, Красный проспект, д. 1, офис 205</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64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left"/>
        <w:spacing w:before="0" w:after="244" w:line="326" w:lineRule="exact"/>
        <w:ind w:left="4980" w:right="480" w:firstLine="0"/>
      </w:pPr>
      <w:r>
        <w:rPr>
          <w:lang w:val="ru-RU" w:eastAsia="ru-RU" w:bidi="ru-RU"/>
          <w:w w:val="100"/>
          <w:spacing w:val="0"/>
          <w:color w:val="000000"/>
          <w:position w:val="0"/>
        </w:rPr>
        <w:t>119435, г. Москва, Большой Саввинский переулок, д. 12, строение 9</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№06/4229-17 о нарушении законодательства Российской Федерации о контрактной системе в сфере закупок</w:t>
      </w:r>
    </w:p>
    <w:p>
      <w:pPr>
        <w:pStyle w:val="Style7"/>
        <w:numPr>
          <w:ilvl w:val="0"/>
          <w:numId w:val="3"/>
        </w:numPr>
        <w:tabs>
          <w:tab w:leader="none" w:pos="8047"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представителя интересов Заказчика М. С. Цыбульникова (по доверенности),</w:t>
      </w:r>
      <w:r>
        <w:br w:type="page"/>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рассмотрев жалобу Заявителя от 07.11.2017 (вх. №4801/09 от 07.11.2017) на действия Заказчика при проведении электронного аукциона «Капитальный ремонт терапевтического корпуса ГБУЗ РК "Бахчисарайская центральная районная больница"» (извещение № 0375200038517000100)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неправомерно установившего в извещении о проведении Аукциона группу работ,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w:t>
      </w:r>
    </w:p>
    <w:p>
      <w:pPr>
        <w:pStyle w:val="Style7"/>
        <w:numPr>
          <w:ilvl w:val="0"/>
          <w:numId w:val="5"/>
        </w:numPr>
        <w:tabs>
          <w:tab w:leader="none" w:pos="1454"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Российской Федерации от 04.02.2015 №99).</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№06/12672,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Заказчика согласился с доводами жалобы.</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09.10.2017, изменения - 23.10.2017;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- 8 613 260,00 рублей;</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07.11.2017 10:00, дата окончания срока рассмотрения первых частей заявок участников: 10.11.2017, дата проведения Аукциона: 13.11.2017.</w:t>
      </w:r>
    </w:p>
    <w:p>
      <w:pPr>
        <w:pStyle w:val="Style7"/>
        <w:numPr>
          <w:ilvl w:val="0"/>
          <w:numId w:val="9"/>
        </w:numPr>
        <w:tabs>
          <w:tab w:leader="none" w:pos="127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извещении о проведении Аукциона неправомерно установлена группы работ,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Российской Федерации от</w:t>
      </w:r>
    </w:p>
    <w:p>
      <w:pPr>
        <w:pStyle w:val="Style7"/>
        <w:numPr>
          <w:ilvl w:val="0"/>
          <w:numId w:val="11"/>
        </w:numPr>
        <w:tabs>
          <w:tab w:leader="none" w:pos="139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№99).</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в соответствии с пунктом 2 части 6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о контрактной системе, или копии этих документов.</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w:t>
      </w:r>
    </w:p>
    <w:p>
      <w:pPr>
        <w:pStyle w:val="Style7"/>
        <w:numPr>
          <w:ilvl w:val="0"/>
          <w:numId w:val="13"/>
        </w:numPr>
        <w:tabs>
          <w:tab w:leader="none" w:pos="1517"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№99. Соответствие участников закупки указанным требованиям подтверждается документами, предусмотренными приложением №1 и №2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пункта 2 Приложения №1 к постановлению Правительства Российской Федерации от 04.02.2015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наличие опыта исполнения (с учетом правопреемства) контракта (договора) на выполнение соответствующих &lt;*&gt;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примечанию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капитального строительства;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Также пунктом 2 Приложения №1 к постановлению Правительства Российской Федерации от 04.02.2015 №99 установлен исчерпывающий перечень документов, подтверждающих соответствие участников закупки дополнительным требованиям.</w:t>
      </w:r>
    </w:p>
    <w:p>
      <w:pPr>
        <w:pStyle w:val="Style7"/>
        <w:tabs>
          <w:tab w:leader="none" w:pos="3043" w:val="right"/>
          <w:tab w:leader="none" w:pos="3188" w:val="left"/>
          <w:tab w:leader="none" w:pos="8222" w:val="right"/>
          <w:tab w:leader="none" w:pos="10200"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Комиссией установлено, что Заказчиком в извещении о проведении Аукциона указан код Общероссийского классификатора продукции по видам экономической деятельности</w:t>
        <w:tab/>
        <w:t>(далее</w:t>
        <w:tab/>
        <w:t>-</w:t>
        <w:tab/>
        <w:t>ОКПД) 43.99.90.190 «</w:t>
      </w:r>
      <w:r>
        <w:rPr>
          <w:rStyle w:val="CharStyle13"/>
        </w:rPr>
        <w:t>Работы</w:t>
        <w:tab/>
        <w:t>строительные специализированные прочие, не включенные в другие группировки</w:t>
      </w:r>
      <w:r>
        <w:rPr>
          <w:lang w:val="ru-RU" w:eastAsia="ru-RU" w:bidi="ru-RU"/>
          <w:w w:val="100"/>
          <w:spacing w:val="0"/>
          <w:color w:val="000000"/>
          <w:position w:val="0"/>
        </w:rPr>
        <w:t>», при этом начальная (максимальная) цена контракта не превышает 10 000 000 рублей и составляет 8 613 260,00рублей, в связи с чем проведение Аукциона не относится к случаю, предусмотренному в пункте 2 приложения №1 к постановлению Правительства Российской Федерации от 04.02.2015 №99.</w:t>
      </w:r>
    </w:p>
    <w:p>
      <w:pPr>
        <w:pStyle w:val="Style7"/>
        <w:widowControl w:val="0"/>
        <w:keepNext w:val="0"/>
        <w:keepLines w:val="0"/>
        <w:shd w:val="clear" w:color="auto" w:fill="auto"/>
        <w:bidi w:val="0"/>
        <w:jc w:val="left"/>
        <w:spacing w:before="0" w:after="0"/>
        <w:ind w:left="860" w:right="0" w:firstLine="0"/>
      </w:pPr>
      <w:r>
        <w:rPr>
          <w:lang w:val="ru-RU" w:eastAsia="ru-RU" w:bidi="ru-RU"/>
          <w:w w:val="100"/>
          <w:spacing w:val="0"/>
          <w:color w:val="000000"/>
          <w:position w:val="0"/>
        </w:rPr>
        <w:t xml:space="preserve">В документации об Аукционе Заказчиком установлено: </w:t>
      </w:r>
      <w:r>
        <w:rPr>
          <w:rStyle w:val="CharStyle14"/>
        </w:rPr>
        <w:t>«...</w:t>
      </w:r>
    </w:p>
    <w:p>
      <w:pPr>
        <w:pStyle w:val="Style15"/>
        <w:framePr w:w="100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7"/>
          <w:lang w:val="en-US" w:eastAsia="en-US" w:bidi="en-US"/>
          <w:b/>
          <w:bCs/>
        </w:rPr>
        <w:t xml:space="preserve">II.II. </w:t>
      </w:r>
      <w:r>
        <w:rPr>
          <w:rStyle w:val="CharStyle17"/>
          <w:b/>
          <w:bCs/>
        </w:rPr>
        <w:t>ЕДИНЫЕ ТРЕБОВАНИЯ К УЧАСТНИКАМ ЗАКУПКИ</w:t>
      </w:r>
    </w:p>
    <w:tbl>
      <w:tblPr>
        <w:tblOverlap w:val="never"/>
        <w:tblLayout w:type="fixed"/>
        <w:jc w:val="center"/>
      </w:tblPr>
      <w:tblGrid>
        <w:gridCol w:w="998"/>
        <w:gridCol w:w="2923"/>
        <w:gridCol w:w="6158"/>
      </w:tblGrid>
      <w:tr>
        <w:trPr>
          <w:trHeight w:val="125" w:hRule="exact"/>
        </w:trPr>
        <w:tc>
          <w:tcPr>
            <w:shd w:val="clear" w:color="auto" w:fill="FFFFFF"/>
            <w:vMerge w:val="restart"/>
            <w:tcBorders>
              <w:left w:val="single" w:sz="4"/>
              <w:top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8"/>
              </w:rPr>
              <w:t>№</w:t>
            </w:r>
          </w:p>
          <w:p>
            <w:pPr>
              <w:pStyle w:val="Style7"/>
              <w:framePr w:w="10080"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8"/>
              </w:rPr>
              <w:t>пункта</w:t>
            </w:r>
          </w:p>
        </w:tc>
        <w:tc>
          <w:tcPr>
            <w:shd w:val="clear" w:color="auto" w:fill="FFFFFF"/>
            <w:tcBorders>
              <w:left w:val="single" w:sz="4"/>
              <w:top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80" w:wrap="notBeside" w:vAnchor="text" w:hAnchor="text" w:xAlign="center" w:y="1"/>
              <w:widowControl w:val="0"/>
              <w:rPr>
                <w:sz w:val="10"/>
                <w:szCs w:val="10"/>
              </w:rPr>
            </w:pPr>
          </w:p>
        </w:tc>
      </w:tr>
      <w:tr>
        <w:trPr>
          <w:trHeight w:val="235" w:hRule="exact"/>
        </w:trPr>
        <w:tc>
          <w:tcPr>
            <w:shd w:val="clear" w:color="auto" w:fill="FFFFFF"/>
            <w:vMerge/>
            <w:tcBorders>
              <w:left w:val="single" w:sz="4"/>
            </w:tcBorders>
            <w:vAlign w:val="bottom"/>
          </w:tcPr>
          <w:p>
            <w:pPr>
              <w:framePr w:w="10080" w:wrap="notBeside" w:vAnchor="text" w:hAnchor="text" w:xAlign="center" w:y="1"/>
            </w:pPr>
          </w:p>
        </w:tc>
        <w:tc>
          <w:tcPr>
            <w:shd w:val="clear" w:color="auto" w:fill="FFFFFF"/>
            <w:tcBorders>
              <w:lef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Наименование</w:t>
            </w:r>
          </w:p>
        </w:tc>
        <w:tc>
          <w:tcPr>
            <w:shd w:val="clear" w:color="auto" w:fill="FFFFFF"/>
            <w:tcBorders>
              <w:left w:val="single" w:sz="4"/>
              <w:righ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Информация</w:t>
            </w:r>
          </w:p>
        </w:tc>
      </w:tr>
      <w:tr>
        <w:trPr>
          <w:trHeight w:val="115" w:hRule="exact"/>
        </w:trPr>
        <w:tc>
          <w:tcPr>
            <w:shd w:val="clear" w:color="auto" w:fill="FFFFFF"/>
            <w:vMerge/>
            <w:tcBorders>
              <w:left w:val="single" w:sz="4"/>
            </w:tcBorders>
            <w:vAlign w:val="bottom"/>
          </w:tcPr>
          <w:p>
            <w:pPr>
              <w:framePr w:w="10080" w:wrap="notBeside" w:vAnchor="text" w:hAnchor="text" w:xAlign="center" w:y="1"/>
            </w:pPr>
          </w:p>
        </w:tc>
        <w:tc>
          <w:tcPr>
            <w:shd w:val="clear" w:color="auto" w:fill="FFFFFF"/>
            <w:tcBorders>
              <w:left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080" w:wrap="notBeside" w:vAnchor="text" w:hAnchor="text" w:xAlign="center" w:y="1"/>
              <w:widowControl w:val="0"/>
              <w:rPr>
                <w:sz w:val="10"/>
                <w:szCs w:val="10"/>
              </w:rPr>
            </w:pPr>
          </w:p>
        </w:tc>
      </w:tr>
      <w:tr>
        <w:trPr>
          <w:trHeight w:val="11650" w:hRule="exact"/>
        </w:trPr>
        <w:tc>
          <w:tcPr>
            <w:shd w:val="clear" w:color="auto" w:fill="FFFFFF"/>
            <w:tcBorders>
              <w:left w:val="single" w:sz="4"/>
              <w:top w:val="single" w:sz="4"/>
              <w:bottom w:val="single" w:sz="4"/>
            </w:tcBorders>
            <w:vAlign w:val="top"/>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1.</w:t>
            </w:r>
          </w:p>
        </w:tc>
        <w:tc>
          <w:tcPr>
            <w:shd w:val="clear" w:color="auto" w:fill="FFFFFF"/>
            <w:tcBorders>
              <w:left w:val="single" w:sz="4"/>
              <w:top w:val="single" w:sz="4"/>
              <w:bottom w:val="single" w:sz="4"/>
            </w:tcBorders>
            <w:vAlign w:val="top"/>
          </w:tcPr>
          <w:p>
            <w:pPr>
              <w:pStyle w:val="Style7"/>
              <w:framePr w:w="10080"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8"/>
              </w:rPr>
              <w:t>Единые требования к участникам закупки</w:t>
            </w:r>
          </w:p>
          <w:p>
            <w:pPr>
              <w:pStyle w:val="Style7"/>
              <w:framePr w:w="10080"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9"/>
              </w:rPr>
              <w:t>*в соответствии с частью 1 статьи 31 Федерального закона № 44-ФЗ</w:t>
            </w:r>
          </w:p>
        </w:tc>
        <w:tc>
          <w:tcPr>
            <w:shd w:val="clear" w:color="auto" w:fill="FFFFFF"/>
            <w:tcBorders>
              <w:left w:val="single" w:sz="4"/>
              <w:right w:val="single" w:sz="4"/>
              <w:top w:val="single" w:sz="4"/>
              <w:bottom w:val="single" w:sz="4"/>
            </w:tcBorders>
            <w:vAlign w:val="bottom"/>
          </w:tcPr>
          <w:p>
            <w:pPr>
              <w:pStyle w:val="Style7"/>
              <w:framePr w:w="10080"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18"/>
              </w:rPr>
              <w:t>В настоящем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w:t>
            </w:r>
            <w:r>
              <w:rPr>
                <w:rStyle w:val="CharStyle18"/>
              </w:rPr>
              <w:t xml:space="preserve"> </w:t>
            </w:r>
            <w:r>
              <w:rPr>
                <w:rStyle w:val="CharStyle20"/>
              </w:rPr>
              <w:t>подпунктом 1 пункта</w:t>
            </w:r>
            <w:r>
              <w:rPr>
                <w:rStyle w:val="CharStyle20"/>
              </w:rPr>
              <w:t xml:space="preserve"> </w:t>
            </w:r>
            <w:r>
              <w:rPr>
                <w:rStyle w:val="CharStyle20"/>
              </w:rPr>
              <w:t xml:space="preserve">3 статьи 284 </w:t>
            </w:r>
            <w:r>
              <w:rPr>
                <w:rStyle w:val="CharStyle18"/>
              </w:rPr>
              <w:t>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 Устанавливаются следующие единые требования к участникам закупки:</w:t>
            </w:r>
          </w:p>
          <w:p>
            <w:pPr>
              <w:pStyle w:val="Style7"/>
              <w:numPr>
                <w:ilvl w:val="0"/>
                <w:numId w:val="15"/>
              </w:numPr>
              <w:framePr w:w="10080" w:wrap="notBeside" w:vAnchor="text" w:hAnchor="text" w:xAlign="center" w:y="1"/>
              <w:tabs>
                <w:tab w:leader="none" w:pos="240" w:val="left"/>
              </w:tabs>
              <w:widowControl w:val="0"/>
              <w:keepNext w:val="0"/>
              <w:keepLines w:val="0"/>
              <w:shd w:val="clear" w:color="auto" w:fill="auto"/>
              <w:bidi w:val="0"/>
              <w:jc w:val="both"/>
              <w:spacing w:before="0" w:after="0" w:line="226" w:lineRule="exact"/>
              <w:ind w:left="0" w:right="0" w:firstLine="0"/>
            </w:pPr>
            <w:r>
              <w:rPr>
                <w:rStyle w:val="CharStyle1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в том числе:</w:t>
            </w:r>
          </w:p>
          <w:p>
            <w:pPr>
              <w:pStyle w:val="Style7"/>
              <w:numPr>
                <w:ilvl w:val="0"/>
                <w:numId w:val="15"/>
              </w:numPr>
              <w:framePr w:w="10080" w:wrap="notBeside" w:vAnchor="text" w:hAnchor="text" w:xAlign="center" w:y="1"/>
              <w:tabs>
                <w:tab w:leader="none" w:pos="302" w:val="left"/>
              </w:tabs>
              <w:widowControl w:val="0"/>
              <w:keepNext w:val="0"/>
              <w:keepLines w:val="0"/>
              <w:shd w:val="clear" w:color="auto" w:fill="auto"/>
              <w:bidi w:val="0"/>
              <w:jc w:val="both"/>
              <w:spacing w:before="0" w:after="0" w:line="226" w:lineRule="exact"/>
              <w:ind w:left="0" w:right="0" w:firstLine="0"/>
            </w:pPr>
            <w:r>
              <w:rPr>
                <w:rStyle w:val="CharStyle18"/>
              </w:rPr>
              <w:t>участник закупки</w:t>
            </w:r>
            <w:r>
              <w:rPr>
                <w:rStyle w:val="CharStyle18"/>
              </w:rPr>
              <w:t xml:space="preserve"> </w:t>
            </w:r>
            <w:r>
              <w:rPr>
                <w:rStyle w:val="CharStyle20"/>
              </w:rPr>
              <w:t xml:space="preserve">должен быть </w:t>
            </w:r>
            <w:r>
              <w:rPr>
                <w:rStyle w:val="CharStyle18"/>
              </w:rPr>
              <w:t>членом СРО в области строительства, реконструкции, капитального ремонта объектов капитального строительства;</w:t>
            </w:r>
          </w:p>
          <w:p>
            <w:pPr>
              <w:pStyle w:val="Style7"/>
              <w:numPr>
                <w:ilvl w:val="0"/>
                <w:numId w:val="15"/>
              </w:numPr>
              <w:framePr w:w="10080" w:wrap="notBeside" w:vAnchor="text" w:hAnchor="text" w:xAlign="center" w:y="1"/>
              <w:tabs>
                <w:tab w:leader="none" w:pos="130" w:val="left"/>
              </w:tabs>
              <w:widowControl w:val="0"/>
              <w:keepNext w:val="0"/>
              <w:keepLines w:val="0"/>
              <w:shd w:val="clear" w:color="auto" w:fill="auto"/>
              <w:bidi w:val="0"/>
              <w:jc w:val="both"/>
              <w:spacing w:before="0" w:after="0" w:line="226" w:lineRule="exact"/>
              <w:ind w:left="0" w:right="0" w:firstLine="0"/>
            </w:pPr>
            <w:r>
              <w:rPr>
                <w:rStyle w:val="CharStyle18"/>
              </w:rPr>
              <w:t>СРО, в которой состоит участник,</w:t>
            </w:r>
            <w:r>
              <w:rPr>
                <w:rStyle w:val="CharStyle18"/>
              </w:rPr>
              <w:t xml:space="preserve"> </w:t>
            </w:r>
            <w:r>
              <w:rPr>
                <w:rStyle w:val="CharStyle20"/>
              </w:rPr>
              <w:t xml:space="preserve">должна иметь </w:t>
            </w:r>
            <w:r>
              <w:rPr>
                <w:rStyle w:val="CharStyle18"/>
              </w:rPr>
              <w:t>компенсационный фонд обеспечения договорных обязательств;</w:t>
            </w:r>
          </w:p>
          <w:p>
            <w:pPr>
              <w:pStyle w:val="Style7"/>
              <w:numPr>
                <w:ilvl w:val="0"/>
                <w:numId w:val="15"/>
              </w:numPr>
              <w:framePr w:w="10080" w:wrap="notBeside" w:vAnchor="text" w:hAnchor="text" w:xAlign="center" w:y="1"/>
              <w:tabs>
                <w:tab w:leader="none" w:pos="144" w:val="left"/>
              </w:tabs>
              <w:widowControl w:val="0"/>
              <w:keepNext w:val="0"/>
              <w:keepLines w:val="0"/>
              <w:shd w:val="clear" w:color="auto" w:fill="auto"/>
              <w:bidi w:val="0"/>
              <w:jc w:val="both"/>
              <w:spacing w:before="0" w:after="0" w:line="226" w:lineRule="exact"/>
              <w:ind w:left="0" w:right="0" w:firstLine="0"/>
            </w:pPr>
            <w:r>
              <w:rPr>
                <w:rStyle w:val="CharStyle18"/>
              </w:rPr>
              <w:t>совокупный размер обязательств участника закупки по договорам, которые заключаются с использованием конкурентных способов,</w:t>
            </w:r>
            <w:r>
              <w:rPr>
                <w:rStyle w:val="CharStyle18"/>
              </w:rPr>
              <w:t xml:space="preserve"> </w:t>
            </w:r>
            <w:r>
              <w:rPr>
                <w:rStyle w:val="CharStyle20"/>
              </w:rPr>
              <w:t>не</w:t>
            </w:r>
            <w:r>
              <w:rPr>
                <w:rStyle w:val="CharStyle20"/>
              </w:rPr>
              <w:t xml:space="preserve"> </w:t>
            </w:r>
            <w:r>
              <w:rPr>
                <w:rStyle w:val="CharStyle20"/>
              </w:rPr>
              <w:t>должен превышать</w:t>
            </w:r>
            <w:r>
              <w:rPr>
                <w:rStyle w:val="CharStyle18"/>
              </w:rPr>
              <w:t>у</w:t>
            </w:r>
            <w:r>
              <w:rPr>
                <w:rStyle w:val="CharStyle18"/>
              </w:rPr>
              <w:t>ровень ответственности участника по компенсационному фонду обеспечения договорных обязательств;</w:t>
            </w:r>
          </w:p>
          <w:p>
            <w:pPr>
              <w:pStyle w:val="Style7"/>
              <w:framePr w:w="10080"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18"/>
              </w:rPr>
              <w:t>Все перечисленные требования п. 1 не распространяются:</w:t>
            </w:r>
          </w:p>
          <w:p>
            <w:pPr>
              <w:pStyle w:val="Style7"/>
              <w:numPr>
                <w:ilvl w:val="0"/>
                <w:numId w:val="15"/>
              </w:numPr>
              <w:framePr w:w="10080" w:wrap="notBeside" w:vAnchor="text" w:hAnchor="text" w:xAlign="center" w:y="1"/>
              <w:tabs>
                <w:tab w:leader="none" w:pos="163" w:val="left"/>
              </w:tabs>
              <w:widowControl w:val="0"/>
              <w:keepNext w:val="0"/>
              <w:keepLines w:val="0"/>
              <w:shd w:val="clear" w:color="auto" w:fill="auto"/>
              <w:bidi w:val="0"/>
              <w:jc w:val="both"/>
              <w:spacing w:before="0" w:after="0" w:line="235" w:lineRule="exact"/>
              <w:ind w:left="0" w:right="0" w:firstLine="0"/>
            </w:pPr>
            <w:r>
              <w:rPr>
                <w:rStyle w:val="CharStyle18"/>
              </w:rPr>
              <w:t>на участников, которые предложат цену контракта 3 млн руб. и менее;</w:t>
            </w:r>
          </w:p>
          <w:p>
            <w:pPr>
              <w:pStyle w:val="Style7"/>
              <w:numPr>
                <w:ilvl w:val="0"/>
                <w:numId w:val="15"/>
              </w:numPr>
              <w:framePr w:w="10080" w:wrap="notBeside" w:vAnchor="text" w:hAnchor="text" w:xAlign="center" w:y="1"/>
              <w:tabs>
                <w:tab w:leader="none" w:pos="144" w:val="left"/>
              </w:tabs>
              <w:widowControl w:val="0"/>
              <w:keepNext w:val="0"/>
              <w:keepLines w:val="0"/>
              <w:shd w:val="clear" w:color="auto" w:fill="auto"/>
              <w:bidi w:val="0"/>
              <w:jc w:val="both"/>
              <w:spacing w:before="0" w:after="300" w:line="230" w:lineRule="exact"/>
              <w:ind w:left="0" w:right="0" w:firstLine="0"/>
            </w:pPr>
            <w:r>
              <w:rPr>
                <w:rStyle w:val="CharStyle18"/>
              </w:rPr>
              <w:t xml:space="preserve">на участников аукциона, для которых в соответствии с частью 2.2 ст. 52 Градостроительного кодекса Российской Федерации от 29 декабря 2004 г. </w:t>
            </w:r>
            <w:r>
              <w:rPr>
                <w:rStyle w:val="CharStyle18"/>
                <w:lang w:val="en-US" w:eastAsia="en-US" w:bidi="en-US"/>
              </w:rPr>
              <w:t xml:space="preserve">N </w:t>
            </w:r>
            <w:r>
              <w:rPr>
                <w:rStyle w:val="CharStyle18"/>
              </w:rPr>
              <w:t>190-ФЗ, членство в СРО в области строительства, реконструкции, капитального ремонта объектов капитального строительства не требуется.</w:t>
            </w:r>
          </w:p>
          <w:p>
            <w:pPr>
              <w:pStyle w:val="Style7"/>
              <w:numPr>
                <w:ilvl w:val="0"/>
                <w:numId w:val="15"/>
              </w:numPr>
              <w:framePr w:w="10080" w:wrap="notBeside" w:vAnchor="text" w:hAnchor="text" w:xAlign="center" w:y="1"/>
              <w:tabs>
                <w:tab w:leader="none" w:pos="134" w:val="left"/>
              </w:tabs>
              <w:widowControl w:val="0"/>
              <w:keepNext w:val="0"/>
              <w:keepLines w:val="0"/>
              <w:shd w:val="clear" w:color="auto" w:fill="auto"/>
              <w:bidi w:val="0"/>
              <w:jc w:val="both"/>
              <w:spacing w:before="300" w:after="60" w:line="230" w:lineRule="exact"/>
              <w:ind w:left="0" w:right="0" w:firstLine="0"/>
            </w:pPr>
            <w:r>
              <w:rPr>
                <w:rStyle w:val="CharStyle18"/>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7"/>
              <w:numPr>
                <w:ilvl w:val="0"/>
                <w:numId w:val="15"/>
              </w:numPr>
              <w:framePr w:w="10080" w:wrap="notBeside" w:vAnchor="text" w:hAnchor="text" w:xAlign="center" w:y="1"/>
              <w:tabs>
                <w:tab w:leader="none" w:pos="192" w:val="left"/>
              </w:tabs>
              <w:widowControl w:val="0"/>
              <w:keepNext w:val="0"/>
              <w:keepLines w:val="0"/>
              <w:shd w:val="clear" w:color="auto" w:fill="auto"/>
              <w:bidi w:val="0"/>
              <w:jc w:val="both"/>
              <w:spacing w:before="60" w:after="60" w:line="226" w:lineRule="exact"/>
              <w:ind w:left="0" w:right="0" w:firstLine="0"/>
            </w:pPr>
            <w:r>
              <w:rPr>
                <w:rStyle w:val="CharStyle18"/>
              </w:rPr>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pPr>
              <w:pStyle w:val="Style7"/>
              <w:numPr>
                <w:ilvl w:val="0"/>
                <w:numId w:val="15"/>
              </w:numPr>
              <w:framePr w:w="10080" w:wrap="notBeside" w:vAnchor="text" w:hAnchor="text" w:xAlign="center" w:y="1"/>
              <w:tabs>
                <w:tab w:leader="none" w:pos="173" w:val="left"/>
              </w:tabs>
              <w:widowControl w:val="0"/>
              <w:keepNext w:val="0"/>
              <w:keepLines w:val="0"/>
              <w:shd w:val="clear" w:color="auto" w:fill="auto"/>
              <w:bidi w:val="0"/>
              <w:jc w:val="both"/>
              <w:spacing w:before="60" w:after="0" w:line="230" w:lineRule="exact"/>
              <w:ind w:left="0" w:right="0" w:firstLine="0"/>
            </w:pPr>
            <w:r>
              <w:rPr>
                <w:rStyle w:val="CharStyle1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p>
        </w:tc>
      </w:tr>
    </w:tbl>
    <w:p>
      <w:pPr>
        <w:widowControl w:val="0"/>
        <w:rPr>
          <w:sz w:val="2"/>
          <w:szCs w:val="2"/>
        </w:rPr>
      </w:pPr>
    </w:p>
    <w:tbl>
      <w:tblPr>
        <w:tblOverlap w:val="never"/>
        <w:tblLayout w:type="fixed"/>
        <w:jc w:val="center"/>
      </w:tblPr>
      <w:tblGrid>
        <w:gridCol w:w="998"/>
        <w:gridCol w:w="2923"/>
        <w:gridCol w:w="6158"/>
      </w:tblGrid>
      <w:tr>
        <w:trPr>
          <w:trHeight w:val="125" w:hRule="exact"/>
        </w:trPr>
        <w:tc>
          <w:tcPr>
            <w:shd w:val="clear" w:color="auto" w:fill="FFFFFF"/>
            <w:vMerge w:val="restart"/>
            <w:tcBorders>
              <w:left w:val="single" w:sz="4"/>
              <w:top w:val="single" w:sz="4"/>
            </w:tcBorders>
            <w:vAlign w:val="top"/>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w:t>
            </w:r>
          </w:p>
        </w:tc>
        <w:tc>
          <w:tcPr>
            <w:shd w:val="clear" w:color="auto" w:fill="FFFFFF"/>
            <w:tcBorders>
              <w:left w:val="single" w:sz="4"/>
              <w:top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80" w:wrap="notBeside" w:vAnchor="text" w:hAnchor="text" w:xAlign="center" w:y="1"/>
              <w:widowControl w:val="0"/>
              <w:rPr>
                <w:sz w:val="10"/>
                <w:szCs w:val="10"/>
              </w:rPr>
            </w:pPr>
          </w:p>
        </w:tc>
      </w:tr>
      <w:tr>
        <w:trPr>
          <w:trHeight w:val="230" w:hRule="exact"/>
        </w:trPr>
        <w:tc>
          <w:tcPr>
            <w:shd w:val="clear" w:color="auto" w:fill="FFFFFF"/>
            <w:vMerge/>
            <w:tcBorders>
              <w:left w:val="single" w:sz="4"/>
            </w:tcBorders>
            <w:vAlign w:val="top"/>
          </w:tcPr>
          <w:p>
            <w:pPr>
              <w:framePr w:w="10080" w:wrap="notBeside" w:vAnchor="text" w:hAnchor="text" w:xAlign="center" w:y="1"/>
            </w:pPr>
          </w:p>
        </w:tc>
        <w:tc>
          <w:tcPr>
            <w:shd w:val="clear" w:color="auto" w:fill="FFFFFF"/>
            <w:tcBorders>
              <w:lef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Наименование</w:t>
            </w:r>
          </w:p>
        </w:tc>
        <w:tc>
          <w:tcPr>
            <w:shd w:val="clear" w:color="auto" w:fill="FFFFFF"/>
            <w:tcBorders>
              <w:left w:val="single" w:sz="4"/>
              <w:righ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Информация</w:t>
            </w:r>
          </w:p>
        </w:tc>
      </w:tr>
      <w:tr>
        <w:trPr>
          <w:trHeight w:val="120" w:hRule="exact"/>
        </w:trPr>
        <w:tc>
          <w:tcPr>
            <w:shd w:val="clear" w:color="auto" w:fill="FFFFFF"/>
            <w:tcBorders>
              <w:left w:val="single" w:sz="4"/>
            </w:tcBorders>
            <w:vAlign w:val="top"/>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пункта</w:t>
            </w:r>
          </w:p>
        </w:tc>
        <w:tc>
          <w:tcPr>
            <w:shd w:val="clear" w:color="auto" w:fill="FFFFFF"/>
            <w:tcBorders>
              <w:left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080" w:wrap="notBeside" w:vAnchor="text" w:hAnchor="text" w:xAlign="center" w:y="1"/>
              <w:widowControl w:val="0"/>
              <w:rPr>
                <w:sz w:val="10"/>
                <w:szCs w:val="10"/>
              </w:rPr>
            </w:pPr>
          </w:p>
        </w:tc>
      </w:tr>
      <w:tr>
        <w:trPr>
          <w:trHeight w:val="13718" w:hRule="exact"/>
        </w:trPr>
        <w:tc>
          <w:tcPr>
            <w:shd w:val="clear" w:color="auto" w:fill="FFFFFF"/>
            <w:tcBorders>
              <w:left w:val="single" w:sz="4"/>
              <w:top w:val="single" w:sz="4"/>
              <w:bottom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080" w:wrap="notBeside" w:vAnchor="text" w:hAnchor="text" w:xAlign="center" w:y="1"/>
              <w:widowControl w:val="0"/>
              <w:keepNext w:val="0"/>
              <w:keepLines w:val="0"/>
              <w:shd w:val="clear" w:color="auto" w:fill="auto"/>
              <w:bidi w:val="0"/>
              <w:jc w:val="both"/>
              <w:spacing w:before="0" w:after="60" w:line="230" w:lineRule="exact"/>
              <w:ind w:left="0" w:right="0" w:firstLine="0"/>
            </w:pPr>
            <w:r>
              <w:rPr>
                <w:rStyle w:val="CharStyle18"/>
              </w:rPr>
              <w:t>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7"/>
              <w:numPr>
                <w:ilvl w:val="0"/>
                <w:numId w:val="17"/>
              </w:numPr>
              <w:framePr w:w="10080" w:wrap="notBeside" w:vAnchor="text" w:hAnchor="text" w:xAlign="center" w:y="1"/>
              <w:tabs>
                <w:tab w:leader="none" w:pos="216" w:val="left"/>
              </w:tabs>
              <w:widowControl w:val="0"/>
              <w:keepNext w:val="0"/>
              <w:keepLines w:val="0"/>
              <w:shd w:val="clear" w:color="auto" w:fill="auto"/>
              <w:bidi w:val="0"/>
              <w:jc w:val="both"/>
              <w:spacing w:before="60" w:after="60" w:line="226" w:lineRule="exact"/>
              <w:ind w:left="0" w:right="0" w:firstLine="0"/>
            </w:pPr>
            <w:r>
              <w:rPr>
                <w:rStyle w:val="CharStyle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7"/>
              <w:numPr>
                <w:ilvl w:val="0"/>
                <w:numId w:val="17"/>
              </w:numPr>
              <w:framePr w:w="10080" w:wrap="notBeside" w:vAnchor="text" w:hAnchor="text" w:xAlign="center" w:y="1"/>
              <w:tabs>
                <w:tab w:leader="none" w:pos="134" w:val="left"/>
              </w:tabs>
              <w:widowControl w:val="0"/>
              <w:keepNext w:val="0"/>
              <w:keepLines w:val="0"/>
              <w:shd w:val="clear" w:color="auto" w:fill="auto"/>
              <w:bidi w:val="0"/>
              <w:jc w:val="both"/>
              <w:spacing w:before="60" w:after="60" w:line="230" w:lineRule="exact"/>
              <w:ind w:left="0" w:right="0" w:firstLine="0"/>
            </w:pPr>
            <w:r>
              <w:rPr>
                <w:rStyle w:val="CharStyle18"/>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7"/>
              <w:numPr>
                <w:ilvl w:val="0"/>
                <w:numId w:val="17"/>
              </w:numPr>
              <w:framePr w:w="10080" w:wrap="notBeside" w:vAnchor="text" w:hAnchor="text" w:xAlign="center" w:y="1"/>
              <w:tabs>
                <w:tab w:leader="none" w:pos="187" w:val="left"/>
              </w:tabs>
              <w:widowControl w:val="0"/>
              <w:keepNext w:val="0"/>
              <w:keepLines w:val="0"/>
              <w:shd w:val="clear" w:color="auto" w:fill="auto"/>
              <w:bidi w:val="0"/>
              <w:jc w:val="both"/>
              <w:spacing w:before="60" w:after="0" w:line="226" w:lineRule="exact"/>
              <w:ind w:left="0" w:right="0" w:firstLine="0"/>
            </w:pPr>
            <w:r>
              <w:rPr>
                <w:rStyle w:val="CharStyle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w:t>
            </w:r>
          </w:p>
        </w:tc>
      </w:tr>
    </w:tbl>
    <w:p>
      <w:pPr>
        <w:widowControl w:val="0"/>
        <w:rPr>
          <w:sz w:val="2"/>
          <w:szCs w:val="2"/>
        </w:rPr>
      </w:pPr>
    </w:p>
    <w:tbl>
      <w:tblPr>
        <w:tblOverlap w:val="never"/>
        <w:tblLayout w:type="fixed"/>
        <w:jc w:val="center"/>
      </w:tblPr>
      <w:tblGrid>
        <w:gridCol w:w="998"/>
        <w:gridCol w:w="2923"/>
        <w:gridCol w:w="6158"/>
      </w:tblGrid>
      <w:tr>
        <w:trPr>
          <w:trHeight w:val="125" w:hRule="exact"/>
        </w:trPr>
        <w:tc>
          <w:tcPr>
            <w:shd w:val="clear" w:color="auto" w:fill="FFFFFF"/>
            <w:vMerge w:val="restart"/>
            <w:tcBorders>
              <w:left w:val="single" w:sz="4"/>
              <w:top w:val="single" w:sz="4"/>
            </w:tcBorders>
            <w:vAlign w:val="top"/>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w:t>
            </w:r>
          </w:p>
        </w:tc>
        <w:tc>
          <w:tcPr>
            <w:shd w:val="clear" w:color="auto" w:fill="FFFFFF"/>
            <w:tcBorders>
              <w:left w:val="single" w:sz="4"/>
              <w:top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80" w:wrap="notBeside" w:vAnchor="text" w:hAnchor="text" w:xAlign="center" w:y="1"/>
              <w:widowControl w:val="0"/>
              <w:rPr>
                <w:sz w:val="10"/>
                <w:szCs w:val="10"/>
              </w:rPr>
            </w:pPr>
          </w:p>
        </w:tc>
      </w:tr>
      <w:tr>
        <w:trPr>
          <w:trHeight w:val="230" w:hRule="exact"/>
        </w:trPr>
        <w:tc>
          <w:tcPr>
            <w:shd w:val="clear" w:color="auto" w:fill="FFFFFF"/>
            <w:vMerge/>
            <w:tcBorders>
              <w:left w:val="single" w:sz="4"/>
            </w:tcBorders>
            <w:vAlign w:val="top"/>
          </w:tcPr>
          <w:p>
            <w:pPr>
              <w:framePr w:w="10080" w:wrap="notBeside" w:vAnchor="text" w:hAnchor="text" w:xAlign="center" w:y="1"/>
            </w:pPr>
          </w:p>
        </w:tc>
        <w:tc>
          <w:tcPr>
            <w:shd w:val="clear" w:color="auto" w:fill="FFFFFF"/>
            <w:tcBorders>
              <w:lef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Наименование</w:t>
            </w:r>
          </w:p>
        </w:tc>
        <w:tc>
          <w:tcPr>
            <w:shd w:val="clear" w:color="auto" w:fill="FFFFFF"/>
            <w:tcBorders>
              <w:left w:val="single" w:sz="4"/>
              <w:right w:val="single" w:sz="4"/>
            </w:tcBorders>
            <w:vAlign w:val="bottom"/>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Информация</w:t>
            </w:r>
          </w:p>
        </w:tc>
      </w:tr>
      <w:tr>
        <w:trPr>
          <w:trHeight w:val="120" w:hRule="exact"/>
        </w:trPr>
        <w:tc>
          <w:tcPr>
            <w:shd w:val="clear" w:color="auto" w:fill="FFFFFF"/>
            <w:tcBorders>
              <w:left w:val="single" w:sz="4"/>
            </w:tcBorders>
            <w:vAlign w:val="top"/>
          </w:tcPr>
          <w:p>
            <w:pPr>
              <w:pStyle w:val="Style7"/>
              <w:framePr w:w="1008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пункта</w:t>
            </w:r>
          </w:p>
        </w:tc>
        <w:tc>
          <w:tcPr>
            <w:shd w:val="clear" w:color="auto" w:fill="FFFFFF"/>
            <w:tcBorders>
              <w:left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080" w:wrap="notBeside" w:vAnchor="text" w:hAnchor="text" w:xAlign="center" w:y="1"/>
              <w:widowControl w:val="0"/>
              <w:rPr>
                <w:sz w:val="10"/>
                <w:szCs w:val="10"/>
              </w:rPr>
            </w:pPr>
          </w:p>
        </w:tc>
      </w:tr>
      <w:tr>
        <w:trPr>
          <w:trHeight w:val="1181" w:hRule="exact"/>
        </w:trPr>
        <w:tc>
          <w:tcPr>
            <w:shd w:val="clear" w:color="auto" w:fill="FFFFFF"/>
            <w:tcBorders>
              <w:left w:val="single" w:sz="4"/>
              <w:top w:val="single" w:sz="4"/>
              <w:bottom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08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pStyle w:val="Style7"/>
              <w:framePr w:w="10080" w:wrap="notBeside" w:vAnchor="text" w:hAnchor="text" w:xAlign="center" w:y="1"/>
              <w:widowControl w:val="0"/>
              <w:keepNext w:val="0"/>
              <w:keepLines w:val="0"/>
              <w:shd w:val="clear" w:color="auto" w:fill="auto"/>
              <w:bidi w:val="0"/>
              <w:jc w:val="both"/>
              <w:spacing w:before="0" w:after="60" w:line="230" w:lineRule="exact"/>
              <w:ind w:left="0" w:right="0" w:firstLine="0"/>
            </w:pPr>
            <w:r>
              <w:rPr>
                <w:rStyle w:val="CharStyle18"/>
              </w:rPr>
              <w:t>голосующих акций хозяйственного общества либо долей, превышающей десять процентов в уставном капитале хозяйственного общества;</w:t>
            </w:r>
          </w:p>
          <w:p>
            <w:pPr>
              <w:pStyle w:val="Style7"/>
              <w:framePr w:w="10080" w:wrap="notBeside" w:vAnchor="text" w:hAnchor="text" w:xAlign="center" w:y="1"/>
              <w:widowControl w:val="0"/>
              <w:keepNext w:val="0"/>
              <w:keepLines w:val="0"/>
              <w:shd w:val="clear" w:color="auto" w:fill="auto"/>
              <w:bidi w:val="0"/>
              <w:jc w:val="both"/>
              <w:spacing w:before="60" w:after="0" w:line="180" w:lineRule="exact"/>
              <w:ind w:left="0" w:right="0" w:firstLine="0"/>
            </w:pPr>
            <w:r>
              <w:rPr>
                <w:rStyle w:val="CharStyle18"/>
              </w:rPr>
              <w:t>- участник закупки не является офшорной компанией.</w:t>
            </w:r>
          </w:p>
        </w:tc>
      </w:tr>
    </w:tbl>
    <w:p>
      <w:pPr>
        <w:pStyle w:val="Style21"/>
        <w:framePr w:w="1008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3"/>
        </w:rPr>
        <w:t>.»</w:t>
      </w:r>
      <w:r>
        <w:rPr>
          <w:lang w:val="ru-RU" w:eastAsia="ru-RU" w:bidi="ru-RU"/>
          <w:w w:val="100"/>
          <w:spacing w:val="0"/>
          <w:color w:val="000000"/>
          <w:position w:val="0"/>
        </w:rPr>
        <w:t xml:space="preserve"> (цитата).</w:t>
      </w:r>
    </w:p>
    <w:p>
      <w:pPr>
        <w:pStyle w:val="Style21"/>
        <w:framePr w:w="1008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4"/>
        </w:rPr>
        <w:t>Вместе с тем, в изве</w:t>
      </w:r>
      <w:r>
        <w:rPr>
          <w:lang w:val="ru-RU" w:eastAsia="ru-RU" w:bidi="ru-RU"/>
          <w:w w:val="100"/>
          <w:spacing w:val="0"/>
          <w:color w:val="000000"/>
          <w:position w:val="0"/>
        </w:rPr>
        <w:t>щении о проведении Аукциона Заказчиком указано: «.</w:t>
      </w:r>
    </w:p>
    <w:p>
      <w:pPr>
        <w:widowControl w:val="0"/>
        <w:rPr>
          <w:sz w:val="2"/>
          <w:szCs w:val="2"/>
        </w:rPr>
      </w:pPr>
    </w:p>
    <w:tbl>
      <w:tblPr>
        <w:tblOverlap w:val="never"/>
        <w:tblLayout w:type="fixed"/>
        <w:jc w:val="center"/>
      </w:tblPr>
      <w:tblGrid>
        <w:gridCol w:w="3259"/>
        <w:gridCol w:w="6965"/>
      </w:tblGrid>
      <w:tr>
        <w:trPr>
          <w:trHeight w:val="590"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280" w:right="0" w:firstLine="0"/>
            </w:pPr>
            <w:r>
              <w:rPr>
                <w:rStyle w:val="CharStyle25"/>
              </w:rPr>
              <w:t>Преимущества и требования к участникам</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26"/>
              </w:rPr>
              <w:t>Преимущества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26"/>
              </w:rPr>
              <w:t>Не установлены</w:t>
            </w:r>
          </w:p>
        </w:tc>
      </w:tr>
      <w:tr>
        <w:trPr>
          <w:trHeight w:val="473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26"/>
              </w:rPr>
              <w:t>Требования к участникам</w:t>
            </w:r>
          </w:p>
        </w:tc>
        <w:tc>
          <w:tcPr>
            <w:shd w:val="clear" w:color="auto" w:fill="FFFFFF"/>
            <w:tcBorders>
              <w:left w:val="single" w:sz="4"/>
              <w:right w:val="single" w:sz="4"/>
              <w:top w:val="single" w:sz="4"/>
            </w:tcBorders>
            <w:vAlign w:val="bottom"/>
          </w:tcPr>
          <w:p>
            <w:pPr>
              <w:pStyle w:val="Style7"/>
              <w:numPr>
                <w:ilvl w:val="0"/>
                <w:numId w:val="19"/>
              </w:numPr>
              <w:framePr w:w="10224" w:wrap="notBeside" w:vAnchor="text" w:hAnchor="text" w:xAlign="center" w:y="1"/>
              <w:tabs>
                <w:tab w:leader="none" w:pos="438" w:val="left"/>
              </w:tabs>
              <w:widowControl w:val="0"/>
              <w:keepNext w:val="0"/>
              <w:keepLines w:val="0"/>
              <w:shd w:val="clear" w:color="auto" w:fill="auto"/>
              <w:bidi w:val="0"/>
              <w:jc w:val="left"/>
              <w:spacing w:before="0" w:after="240" w:line="254" w:lineRule="exact"/>
              <w:ind w:left="280" w:right="0" w:firstLine="0"/>
            </w:pPr>
            <w:r>
              <w:rPr>
                <w:rStyle w:val="CharStyle26"/>
              </w:rPr>
              <w:t>Единые требования к участникам (в соответствии с частью 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300" w:line="200" w:lineRule="exact"/>
              <w:ind w:left="280" w:right="0" w:firstLine="0"/>
            </w:pPr>
            <w:r>
              <w:rPr>
                <w:rStyle w:val="CharStyle26"/>
              </w:rPr>
              <w:t>Дополнительная информация к требованию отсутствует</w:t>
            </w:r>
          </w:p>
          <w:p>
            <w:pPr>
              <w:pStyle w:val="Style7"/>
              <w:numPr>
                <w:ilvl w:val="0"/>
                <w:numId w:val="19"/>
              </w:numPr>
              <w:framePr w:w="10224" w:wrap="notBeside" w:vAnchor="text" w:hAnchor="text" w:xAlign="center" w:y="1"/>
              <w:tabs>
                <w:tab w:leader="none" w:pos="443" w:val="left"/>
              </w:tabs>
              <w:widowControl w:val="0"/>
              <w:keepNext w:val="0"/>
              <w:keepLines w:val="0"/>
              <w:shd w:val="clear" w:color="auto" w:fill="auto"/>
              <w:bidi w:val="0"/>
              <w:jc w:val="left"/>
              <w:spacing w:before="300" w:after="240" w:line="254" w:lineRule="exact"/>
              <w:ind w:left="280" w:right="0" w:firstLine="0"/>
            </w:pPr>
            <w:r>
              <w:rPr>
                <w:rStyle w:val="CharStyle26"/>
              </w:rPr>
              <w:t>Требования к участникам закупок в соответствии с частью 1.1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300" w:line="200" w:lineRule="exact"/>
              <w:ind w:left="280" w:right="0" w:firstLine="0"/>
            </w:pPr>
            <w:r>
              <w:rPr>
                <w:rStyle w:val="CharStyle26"/>
              </w:rPr>
              <w:t>Дополнительная информация к требованию отсутствует</w:t>
            </w:r>
          </w:p>
          <w:p>
            <w:pPr>
              <w:pStyle w:val="Style7"/>
              <w:numPr>
                <w:ilvl w:val="0"/>
                <w:numId w:val="19"/>
              </w:numPr>
              <w:framePr w:w="10224" w:wrap="notBeside" w:vAnchor="text" w:hAnchor="text" w:xAlign="center" w:y="1"/>
              <w:tabs>
                <w:tab w:leader="none" w:pos="443" w:val="left"/>
              </w:tabs>
              <w:widowControl w:val="0"/>
              <w:keepNext w:val="0"/>
              <w:keepLines w:val="0"/>
              <w:shd w:val="clear" w:color="auto" w:fill="auto"/>
              <w:bidi w:val="0"/>
              <w:jc w:val="left"/>
              <w:spacing w:before="300" w:after="240" w:line="250" w:lineRule="exact"/>
              <w:ind w:left="280" w:right="0" w:firstLine="0"/>
            </w:pPr>
            <w:r>
              <w:rPr>
                <w:rStyle w:val="CharStyle26"/>
              </w:rPr>
              <w:t>Требование к наличию опыта работы, связанного с предметом контракта, и деловой репутации (в соответствии с пунктом 3 части 2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0" w:line="250" w:lineRule="exact"/>
              <w:ind w:left="280" w:right="0" w:firstLine="0"/>
            </w:pPr>
            <w:r>
              <w:rPr>
                <w:rStyle w:val="CharStyle26"/>
              </w:rPr>
              <w:t>Подтверждением наличия опыта работы, связанного с предметом контракта и деловой репутации являются номера закупок исполненных контрактов на ЕИС по коду ОКВЭД2 (ОКПД2) в количестве не менее двух</w:t>
            </w:r>
          </w:p>
        </w:tc>
      </w:tr>
      <w:tr>
        <w:trPr>
          <w:trHeight w:val="336" w:hRule="exact"/>
        </w:trPr>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26"/>
              </w:rPr>
              <w:t>Ограничения и запреты</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26"/>
              </w:rPr>
              <w:t>Не установлены</w:t>
            </w:r>
          </w:p>
        </w:tc>
      </w:tr>
    </w:tbl>
    <w:p>
      <w:pPr>
        <w:pStyle w:val="Style21"/>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Учитывая изложенное, Комиссия приходит к выводу, что действия Заказчика установившего в извещении о проведении Аукциона группу работ (работ по строительству, реконструкции и капитальному ремонту объектов капитального строительства),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w:t>
      </w:r>
    </w:p>
    <w:p>
      <w:pPr>
        <w:pStyle w:val="Style7"/>
        <w:numPr>
          <w:ilvl w:val="0"/>
          <w:numId w:val="21"/>
        </w:numPr>
        <w:tabs>
          <w:tab w:leader="none" w:pos="1403" w:val="left"/>
        </w:tabs>
        <w:widowControl w:val="0"/>
        <w:keepNext w:val="0"/>
        <w:keepLines w:val="0"/>
        <w:shd w:val="clear" w:color="auto" w:fill="auto"/>
        <w:bidi w:val="0"/>
        <w:jc w:val="both"/>
        <w:spacing w:before="0" w:after="60"/>
        <w:ind w:left="20" w:right="20" w:firstLine="0"/>
      </w:pPr>
      <w:r>
        <w:rPr>
          <w:lang w:val="ru-RU" w:eastAsia="ru-RU" w:bidi="ru-RU"/>
          <w:w w:val="100"/>
          <w:spacing w:val="0"/>
          <w:color w:val="000000"/>
          <w:position w:val="0"/>
        </w:rPr>
        <w:t>№99, нарушают требования части 2, 4 статьи 31, пункт 6 части 5 статьи 63 Закона о контрактной системе, пункт 2 приложения 1 к постановлению Правительства Российской Федерации от 04.02.2015 № 99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9"/>
        </w:numPr>
        <w:tabs>
          <w:tab w:leader="none" w:pos="1192" w:val="left"/>
        </w:tabs>
        <w:widowControl w:val="0"/>
        <w:keepNext w:val="0"/>
        <w:keepLines w:val="0"/>
        <w:shd w:val="clear" w:color="auto" w:fill="auto"/>
        <w:bidi w:val="0"/>
        <w:jc w:val="both"/>
        <w:spacing w:before="0" w:after="60"/>
        <w:ind w:left="20" w:right="20" w:firstLine="84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2.1. 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9"/>
        </w:numPr>
        <w:tabs>
          <w:tab w:leader="none" w:pos="1863" w:val="left"/>
          <w:tab w:leader="none" w:pos="3864" w:val="left"/>
          <w:tab w:leader="none" w:pos="1345" w:val="left"/>
        </w:tabs>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w:t>
        <w:tab/>
        <w:t>каждый факт</w:t>
        <w:tab/>
        <w:t>неисполнения или ненадлежащего исполнения</w:t>
      </w:r>
    </w:p>
    <w:p>
      <w:pPr>
        <w:pStyle w:val="Style7"/>
        <w:tabs>
          <w:tab w:leader="none" w:pos="1863" w:val="left"/>
          <w:tab w:leader="none" w:pos="386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3" w:val="left"/>
          <w:tab w:leader="none" w:pos="3864"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9"/>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разделе 12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27"/>
        <w:numPr>
          <w:ilvl w:val="0"/>
          <w:numId w:val="2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27"/>
        <w:numPr>
          <w:ilvl w:val="0"/>
          <w:numId w:val="2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27"/>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27"/>
        <w:numPr>
          <w:ilvl w:val="0"/>
          <w:numId w:val="25"/>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pPr>
        <w:pStyle w:val="Style27"/>
        <w:numPr>
          <w:ilvl w:val="0"/>
          <w:numId w:val="25"/>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p>
    <w:p>
      <w:pPr>
        <w:pStyle w:val="Style27"/>
        <w:tabs>
          <w:tab w:leader="underscore" w:pos="4498" w:val="left"/>
          <w:tab w:leader="underscore" w:pos="7383" w:val="lef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виде фиксированной суммы </w:t>
        <w:tab/>
        <w:t>рублей (</w:t>
        <w:tab/>
        <w:t>), определенной в порядке,</w:t>
      </w:r>
    </w:p>
    <w:p>
      <w:pPr>
        <w:pStyle w:val="Style27"/>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б) 5000рублей, если цена контракта составляет от 3 млн. рублей до 50 млн. рублей (включительно);</w:t>
      </w:r>
    </w:p>
    <w:p>
      <w:pPr>
        <w:pStyle w:val="Style2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10000рублей, если цена контракта составляет от 50 млн. рублей до 100 млн. рублей (включительно);</w:t>
      </w:r>
    </w:p>
    <w:p>
      <w:pPr>
        <w:pStyle w:val="Style2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27"/>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12.3. В случае просрочки исполнения Подрядчиком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27"/>
        <w:numPr>
          <w:ilvl w:val="0"/>
          <w:numId w:val="2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27"/>
        <w:numPr>
          <w:ilvl w:val="0"/>
          <w:numId w:val="2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подлежит уплате за весь период просрочки исполнения обязательств, предусмотренных Контрактом.</w:t>
      </w:r>
    </w:p>
    <w:p>
      <w:pPr>
        <w:pStyle w:val="Style27"/>
        <w:numPr>
          <w:ilvl w:val="0"/>
          <w:numId w:val="2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p>
    <w:p>
      <w:pPr>
        <w:pStyle w:val="Style27"/>
        <w:tabs>
          <w:tab w:leader="underscore" w:pos="2266" w:val="center"/>
          <w:tab w:leader="underscore" w:pos="5079" w:val="left"/>
          <w:tab w:leader="underscore" w:pos="5079" w:val="lef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ab/>
        <w:t>рублей</w:t>
        <w:tab/>
        <w:t>(</w:t>
        <w:tab/>
        <w:t>), определенной в порядке, установленном Постановлением</w:t>
      </w:r>
    </w:p>
    <w:p>
      <w:pPr>
        <w:pStyle w:val="Style27"/>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9"/>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w:t>
      </w:r>
    </w:p>
    <w:p>
      <w:pPr>
        <w:pStyle w:val="Style2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рублей;</w:t>
      </w:r>
    </w:p>
    <w:p>
      <w:pPr>
        <w:pStyle w:val="Style2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27"/>
        <w:numPr>
          <w:ilvl w:val="0"/>
          <w:numId w:val="29"/>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27"/>
        <w:numPr>
          <w:ilvl w:val="0"/>
          <w:numId w:val="2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27"/>
        <w:numPr>
          <w:ilvl w:val="0"/>
          <w:numId w:val="2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w:t>
      </w:r>
      <w:r>
        <w:rPr>
          <w:rStyle w:val="CharStyle31"/>
        </w:rPr>
        <w:t>.</w:t>
      </w: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60"/>
        <w:ind w:left="20" w:right="20" w:firstLine="5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 Запросе предложений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 30.08.2017 № 1042 а также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в соответствии с пунктом 8 Правил от 30.08.2017 № 1047, нарушают требования частей 5, 7, 8 статьи 34 Закона о контрактной системе, пунктов 4, 5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31"/>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Признать Заказчика нарушившим требования частей 2, 4 статьи 31, частей 5, 7, 8 статьи 34, пункта 6 части 5 статьи 63 Закона о контрактной системе, пунктов 5, 8 Правил от 30.08.2017 № 1042.</w:t>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№06/4229-17 для рассмотрения вопроса о возбуждении дела об административном правонарушении.</w:t>
      </w:r>
    </w:p>
    <w:p>
      <w:pPr>
        <w:pStyle w:val="Style7"/>
        <w:numPr>
          <w:ilvl w:val="0"/>
          <w:numId w:val="3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№06/12672.</w:t>
      </w:r>
    </w:p>
    <w:p>
      <w:pPr>
        <w:pStyle w:val="Style7"/>
        <w:widowControl w:val="0"/>
        <w:keepNext w:val="0"/>
        <w:keepLines w:val="0"/>
        <w:shd w:val="clear" w:color="auto" w:fill="auto"/>
        <w:bidi w:val="0"/>
        <w:jc w:val="left"/>
        <w:spacing w:before="0" w:after="339" w:line="317" w:lineRule="exact"/>
        <w:ind w:left="0" w:right="260" w:firstLine="8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298" w:val="center"/>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75" w:val="center"/>
          <w:tab w:leader="none" w:pos="8256" w:val="center"/>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275" w:val="center"/>
          <w:tab w:leader="none" w:pos="8261" w:val="center"/>
          <w:tab w:leader="none" w:pos="9656" w:val="right"/>
        </w:tabs>
        <w:widowControl w:val="0"/>
        <w:keepNext w:val="0"/>
        <w:keepLines w:val="0"/>
        <w:shd w:val="clear" w:color="auto" w:fill="auto"/>
        <w:bidi w:val="0"/>
        <w:jc w:val="both"/>
        <w:spacing w:before="0" w:after="0" w:line="643" w:lineRule="exact"/>
        <w:ind w:left="0" w:right="0" w:firstLine="0"/>
        <w:sectPr>
          <w:footnotePr>
            <w:pos w:val="pageBottom"/>
            <w:numFmt w:val="decimal"/>
            <w:numRestart w:val="continuous"/>
          </w:footnotePr>
          <w:type w:val="continuous"/>
          <w:pgSz w:w="11906" w:h="16838"/>
          <w:pgMar w:top="1489" w:left="800" w:right="642" w:bottom="985"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pStyle w:val="Style3"/>
        <w:widowControl w:val="0"/>
        <w:keepNext w:val="0"/>
        <w:keepLines w:val="0"/>
        <w:shd w:val="clear" w:color="auto" w:fill="auto"/>
        <w:bidi w:val="0"/>
        <w:spacing w:before="184" w:after="0" w:line="274" w:lineRule="exact"/>
        <w:ind w:left="0" w:right="0" w:firstLine="0"/>
        <w:sectPr>
          <w:type w:val="continuous"/>
          <w:pgSz w:w="11906" w:h="16838"/>
          <w:pgMar w:top="1621" w:left="1283" w:right="6745" w:bottom="704"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33"/>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3"/>
        </w:numPr>
        <w:tabs>
          <w:tab w:leader="none" w:pos="1418" w:val="left"/>
        </w:tabs>
        <w:widowControl w:val="0"/>
        <w:keepNext w:val="0"/>
        <w:keepLines w:val="0"/>
        <w:shd w:val="clear" w:color="auto" w:fill="auto"/>
        <w:bidi w:val="0"/>
        <w:jc w:val="left"/>
        <w:spacing w:before="0" w:after="0" w:line="562" w:lineRule="exact"/>
        <w:ind w:left="40" w:right="2060" w:firstLine="0"/>
      </w:pPr>
      <w:r>
        <w:rPr>
          <w:lang w:val="ru-RU" w:eastAsia="ru-RU" w:bidi="ru-RU"/>
          <w:w w:val="100"/>
          <w:spacing w:val="0"/>
          <w:color w:val="000000"/>
          <w:position w:val="0"/>
        </w:rPr>
        <w:t>№06/12892 На № б/н от 07.11.2017</w:t>
      </w:r>
    </w:p>
    <w:p>
      <w:pPr>
        <w:pStyle w:val="Style7"/>
        <w:numPr>
          <w:ilvl w:val="0"/>
          <w:numId w:val="35"/>
        </w:numPr>
        <w:tabs>
          <w:tab w:leader="none" w:pos="342" w:val="left"/>
        </w:tabs>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236"/>
        <w:ind w:left="20" w:right="40" w:firstLine="0"/>
      </w:pPr>
      <w:r>
        <w:rPr>
          <w:lang w:val="ru-RU" w:eastAsia="ru-RU" w:bidi="ru-RU"/>
          <w:w w:val="100"/>
          <w:spacing w:val="0"/>
          <w:color w:val="000000"/>
          <w:position w:val="0"/>
        </w:rPr>
        <w:t>Государственное бюджетное учреждение здравоохранения Республики Крым "Бахчисарайская центральная районная больница"</w:t>
      </w:r>
    </w:p>
    <w:p>
      <w:pPr>
        <w:pStyle w:val="Style7"/>
        <w:widowControl w:val="0"/>
        <w:keepNext w:val="0"/>
        <w:keepLines w:val="0"/>
        <w:shd w:val="clear" w:color="auto" w:fill="auto"/>
        <w:bidi w:val="0"/>
        <w:jc w:val="both"/>
        <w:spacing w:before="0" w:after="0" w:line="326" w:lineRule="exact"/>
        <w:ind w:left="20" w:right="40" w:firstLine="0"/>
        <w:sectPr>
          <w:type w:val="continuous"/>
          <w:pgSz w:w="11906" w:h="16838"/>
          <w:pgMar w:top="1621" w:left="794" w:right="1077" w:bottom="704" w:header="0" w:footer="3" w:gutter="0"/>
          <w:rtlGutter w:val="0"/>
          <w:cols w:num="2" w:space="102"/>
          <w:noEndnote/>
          <w:docGrid w:linePitch="360"/>
        </w:sectPr>
      </w:pPr>
      <w:r>
        <w:rPr>
          <w:lang w:val="ru-RU" w:eastAsia="ru-RU" w:bidi="ru-RU"/>
          <w:w w:val="100"/>
          <w:spacing w:val="0"/>
          <w:color w:val="000000"/>
          <w:position w:val="0"/>
        </w:rPr>
        <w:t>298400, Республика Крым, г. Бахчисарай, ул. Советская, 13</w:t>
      </w:r>
    </w:p>
    <w:p>
      <w:pPr>
        <w:widowControl w:val="0"/>
        <w:spacing w:before="98" w:after="9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5"/>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«А Строй»</w:t>
      </w:r>
    </w:p>
    <w:p>
      <w:pPr>
        <w:pStyle w:val="Style7"/>
        <w:widowControl w:val="0"/>
        <w:keepNext w:val="0"/>
        <w:keepLines w:val="0"/>
        <w:shd w:val="clear" w:color="auto" w:fill="auto"/>
        <w:bidi w:val="0"/>
        <w:jc w:val="left"/>
        <w:spacing w:before="0" w:after="289"/>
        <w:ind w:left="4980" w:right="940" w:firstLine="0"/>
      </w:pPr>
      <w:r>
        <w:rPr>
          <w:lang w:val="ru-RU" w:eastAsia="ru-RU" w:bidi="ru-RU"/>
          <w:w w:val="100"/>
          <w:spacing w:val="0"/>
          <w:color w:val="000000"/>
          <w:position w:val="0"/>
        </w:rPr>
        <w:t>630007, г. Новосибирск, Красный проспект, д. 1, офис 205</w:t>
      </w:r>
    </w:p>
    <w:p>
      <w:pPr>
        <w:pStyle w:val="Style7"/>
        <w:numPr>
          <w:ilvl w:val="0"/>
          <w:numId w:val="35"/>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64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left"/>
        <w:spacing w:before="0" w:after="64" w:line="326" w:lineRule="exact"/>
        <w:ind w:left="4980" w:right="440" w:firstLine="0"/>
      </w:pPr>
      <w:r>
        <w:rPr>
          <w:lang w:val="ru-RU" w:eastAsia="ru-RU" w:bidi="ru-RU"/>
          <w:w w:val="100"/>
          <w:spacing w:val="0"/>
          <w:color w:val="000000"/>
          <w:position w:val="0"/>
        </w:rPr>
        <w:t>119435, г. Москва, Большой Саввинский переулок, д. 12, строение 9</w:t>
      </w:r>
    </w:p>
    <w:p>
      <w:pPr>
        <w:pStyle w:val="Style10"/>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Предписание по делу №06/4229-17 об устранении нарушений законодательства Российской Федерации о контрактной системе в сфере закупок</w:t>
      </w:r>
    </w:p>
    <w:p>
      <w:pPr>
        <w:pStyle w:val="Style7"/>
        <w:numPr>
          <w:ilvl w:val="0"/>
          <w:numId w:val="37"/>
        </w:numPr>
        <w:tabs>
          <w:tab w:leader="none" w:pos="8033" w:val="left"/>
          <w:tab w:leader="none" w:pos="8071" w:val="left"/>
        </w:tabs>
        <w:widowControl w:val="0"/>
        <w:keepNext w:val="0"/>
        <w:keepLines w:val="0"/>
        <w:shd w:val="clear" w:color="auto" w:fill="auto"/>
        <w:bidi w:val="0"/>
        <w:jc w:val="both"/>
        <w:spacing w:before="0" w:after="0"/>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на основании решения Комиссии от 10.11.2017 по делу №06/4229-17 по итогам</w:t>
        <w:br w:type="page"/>
        <w:t>рассмотрения жалобы Заявителя от 07.11.2017 (вх. №4801/09 от 07.11.2017) на действия Заказчика при проведении аукциона в электронной форме «Капитальный ремонт терапевтического корпуса ГБУЗ РК "Бахчисарайская центральная районная больница"» (извещение №0375200038517000100)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0"/>
        <w:ind w:left="4360" w:right="0" w:firstLine="0"/>
      </w:pPr>
      <w:r>
        <w:rPr>
          <w:lang w:val="ru-RU" w:eastAsia="ru-RU" w:bidi="ru-RU"/>
          <w:w w:val="100"/>
          <w:spacing w:val="0"/>
          <w:color w:val="000000"/>
          <w:position w:val="0"/>
        </w:rPr>
        <w:t>ПРЕДПИСЫВАЕТ:</w:t>
      </w:r>
    </w:p>
    <w:p>
      <w:pPr>
        <w:pStyle w:val="Style7"/>
        <w:numPr>
          <w:ilvl w:val="0"/>
          <w:numId w:val="39"/>
        </w:numPr>
        <w:tabs>
          <w:tab w:leader="none" w:pos="10218"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w:t>
        <w:tab/>
        <w:t>в соответствие с положениями законодательства Российской Федерации о контрактной системе в сфере закупок и с учетом решения от 10.11.2017 по делу №06/4229-17.</w:t>
      </w:r>
    </w:p>
    <w:p>
      <w:pPr>
        <w:pStyle w:val="Style7"/>
        <w:numPr>
          <w:ilvl w:val="0"/>
          <w:numId w:val="3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 срок до 27.11.2017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39"/>
        </w:numPr>
        <w:tabs>
          <w:tab w:leader="none" w:pos="10218" w:val="right"/>
        </w:tabs>
        <w:widowControl w:val="0"/>
        <w:keepNext w:val="0"/>
        <w:keepLines w:val="0"/>
        <w:shd w:val="clear" w:color="auto" w:fill="auto"/>
        <w:bidi w:val="0"/>
        <w:jc w:val="both"/>
        <w:spacing w:before="0" w:after="0"/>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w:t>
        <w:tab/>
        <w:t>и приостановлении торгов от 07.11.2017 №06/12672.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9"/>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9" w:val="right"/>
          <w:tab w:leader="none" w:pos="8422" w:val="right"/>
          <w:tab w:leader="none" w:pos="9697"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53" w:val="right"/>
          <w:tab w:leader="none" w:pos="8401" w:val="right"/>
          <w:tab w:leader="none" w:pos="9553"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38" w:left="802" w:right="802" w:bottom="1072" w:header="0" w:footer="3" w:gutter="82"/>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04.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5"/>
      <w:numFmt w:val="decimal"/>
      <w:lvlText w:val="04.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5"/>
      <w:numFmt w:val="decimal"/>
      <w:lvlText w:val="04.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6">
    <w:multiLevelType w:val="multilevel"/>
    <w:lvl w:ilvl="0">
      <w:start w:val="1"/>
      <w:numFmt w:val="bullet"/>
      <w:lvlText w:val="-"/>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
    <w:multiLevelType w:val="multilevel"/>
    <w:lvl w:ilvl="0">
      <w:start w:val="2015"/>
      <w:numFmt w:val="decimal"/>
      <w:lvlText w:val="04.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2.%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2.2.%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2.3.%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8">
    <w:multiLevelType w:val="multilevel"/>
    <w:lvl w:ilvl="0">
      <w:start w:val="4"/>
      <w:numFmt w:val="decimal"/>
      <w:lvlText w:val="12.%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Подпись к таблице (2)_"/>
    <w:basedOn w:val="DefaultParagraphFont"/>
    <w:link w:val="Style15"/>
    <w:rPr>
      <w:b/>
      <w:bCs/>
      <w:i w:val="0"/>
      <w:iCs w:val="0"/>
      <w:u w:val="none"/>
      <w:strike w:val="0"/>
      <w:smallCaps w:val="0"/>
      <w:sz w:val="18"/>
      <w:szCs w:val="18"/>
      <w:rFonts w:ascii="Times New Roman" w:eastAsia="Times New Roman" w:hAnsi="Times New Roman" w:cs="Times New Roman"/>
    </w:rPr>
  </w:style>
  <w:style w:type="character" w:customStyle="1" w:styleId="CharStyle17">
    <w:name w:val="Подпись к таблице (2)"/>
    <w:basedOn w:val="CharStyle16"/>
    <w:rPr>
      <w:lang w:val="ru-RU" w:eastAsia="ru-RU" w:bidi="ru-RU"/>
      <w:u w:val="single"/>
      <w:w w:val="100"/>
      <w:spacing w:val="0"/>
      <w:color w:val="000000"/>
      <w:position w:val="0"/>
    </w:rPr>
  </w:style>
  <w:style w:type="character" w:customStyle="1" w:styleId="CharStyle18">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19">
    <w:name w:val="Основной текст + 9 pt,Курсив"/>
    <w:basedOn w:val="CharStyle9"/>
    <w:rPr>
      <w:lang w:val="ru-RU" w:eastAsia="ru-RU" w:bidi="ru-RU"/>
      <w:i/>
      <w:iCs/>
      <w:sz w:val="18"/>
      <w:szCs w:val="18"/>
      <w:w w:val="100"/>
      <w:spacing w:val="0"/>
      <w:color w:val="000000"/>
      <w:position w:val="0"/>
    </w:rPr>
  </w:style>
  <w:style w:type="character" w:customStyle="1" w:styleId="CharStyle20">
    <w:name w:val="Основной текст + 9 pt,Полужирный"/>
    <w:basedOn w:val="CharStyle9"/>
    <w:rPr>
      <w:lang w:val="ru-RU" w:eastAsia="ru-RU" w:bidi="ru-RU"/>
      <w:b/>
      <w:bCs/>
      <w:sz w:val="18"/>
      <w:szCs w:val="18"/>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Подпись к таблице"/>
    <w:basedOn w:val="CharStyle22"/>
    <w:rPr>
      <w:lang w:val="ru-RU" w:eastAsia="ru-RU" w:bidi="ru-RU"/>
      <w:w w:val="100"/>
      <w:spacing w:val="0"/>
      <w:color w:val="000000"/>
      <w:position w:val="0"/>
    </w:rPr>
  </w:style>
  <w:style w:type="character" w:customStyle="1" w:styleId="CharStyle24">
    <w:name w:val="Подпись к таблице"/>
    <w:basedOn w:val="CharStyle22"/>
    <w:rPr>
      <w:lang w:val="ru-RU" w:eastAsia="ru-RU" w:bidi="ru-RU"/>
      <w:u w:val="single"/>
      <w:w w:val="100"/>
      <w:spacing w:val="0"/>
      <w:color w:val="000000"/>
      <w:position w:val="0"/>
    </w:rPr>
  </w:style>
  <w:style w:type="character" w:customStyle="1" w:styleId="CharStyle25">
    <w:name w:val="Основной текст + 10 pt,Полужирный"/>
    <w:basedOn w:val="CharStyle9"/>
    <w:rPr>
      <w:lang w:val="ru-RU" w:eastAsia="ru-RU" w:bidi="ru-RU"/>
      <w:b/>
      <w:bCs/>
      <w:sz w:val="20"/>
      <w:szCs w:val="20"/>
      <w:w w:val="100"/>
      <w:spacing w:val="0"/>
      <w:color w:val="000000"/>
      <w:position w:val="0"/>
    </w:rPr>
  </w:style>
  <w:style w:type="character" w:customStyle="1" w:styleId="CharStyle26">
    <w:name w:val="Основной текст + 10 pt,Полужирный"/>
    <w:basedOn w:val="CharStyle9"/>
    <w:rPr>
      <w:lang w:val="ru-RU" w:eastAsia="ru-RU" w:bidi="ru-RU"/>
      <w:b/>
      <w:bCs/>
      <w:sz w:val="20"/>
      <w:szCs w:val="20"/>
      <w:w w:val="100"/>
      <w:spacing w:val="0"/>
      <w:color w:val="000000"/>
      <w:position w:val="0"/>
    </w:rPr>
  </w:style>
  <w:style w:type="character" w:customStyle="1" w:styleId="CharStyle28">
    <w:name w:val="Основной текст (5)_"/>
    <w:basedOn w:val="DefaultParagraphFont"/>
    <w:link w:val="Style27"/>
    <w:rPr>
      <w:b/>
      <w:bCs/>
      <w:i w:val="0"/>
      <w:iCs w:val="0"/>
      <w:u w:val="none"/>
      <w:strike w:val="0"/>
      <w:smallCaps w:val="0"/>
      <w:sz w:val="18"/>
      <w:szCs w:val="18"/>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18"/>
      <w:szCs w:val="18"/>
      <w:rFonts w:ascii="Times New Roman" w:eastAsia="Times New Roman" w:hAnsi="Times New Roman" w:cs="Times New Roman"/>
    </w:rPr>
  </w:style>
  <w:style w:type="character" w:customStyle="1" w:styleId="CharStyle31">
    <w:name w:val="Основной текст + 10 pt,Полужирный"/>
    <w:basedOn w:val="CharStyle9"/>
    <w:rPr>
      <w:lang w:val="ru-RU" w:eastAsia="ru-RU" w:bidi="ru-RU"/>
      <w:b/>
      <w:bCs/>
      <w:sz w:val="20"/>
      <w:szCs w:val="20"/>
      <w:w w:val="100"/>
      <w:spacing w:val="0"/>
      <w:color w:val="000000"/>
      <w:position w:val="0"/>
    </w:rPr>
  </w:style>
  <w:style w:type="character" w:customStyle="1" w:styleId="CharStyle32">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3)"/>
    <w:basedOn w:val="CharStyle32"/>
    <w:rPr>
      <w:lang w:val="ru-RU" w:eastAsia="ru-RU" w:bidi="ru-RU"/>
      <w:u w:val="single"/>
      <w:w w:val="100"/>
      <w:spacing w:val="0"/>
      <w:color w:val="000000"/>
      <w:position w:val="0"/>
    </w:rPr>
  </w:style>
  <w:style w:type="character" w:customStyle="1" w:styleId="CharStyle3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5">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32"/>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34"/>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Подпись к таблице (2)"/>
    <w:basedOn w:val="Normal"/>
    <w:link w:val="CharStyle16"/>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26" w:lineRule="exact"/>
    </w:pPr>
    <w:rPr>
      <w:b w:val="0"/>
      <w:bCs w:val="0"/>
      <w:i/>
      <w:iCs/>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