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2461" w:wrap="around" w:hAnchor="margin" w:x="2" w:y="1246"/>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framePr w:w="4840" w:h="2461" w:wrap="around" w:hAnchor="margin" w:x="2" w:y="1246"/>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40" w:h="2461" w:wrap="around" w:hAnchor="margin" w:x="2" w:y="124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spacing w:before="955"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300" w:firstLine="0"/>
      </w:pPr>
      <w:r>
        <w:rPr>
          <w:lang w:val="ru-RU" w:eastAsia="ru-RU" w:bidi="ru-RU"/>
          <w:w w:val="100"/>
          <w:spacing w:val="0"/>
          <w:color w:val="000000"/>
          <w:position w:val="0"/>
        </w:rPr>
        <w:t>Федеральное государственное унитарное предприятие</w:t>
      </w:r>
    </w:p>
    <w:p>
      <w:pPr>
        <w:pStyle w:val="Style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«Крымская железная дорога»</w:t>
      </w:r>
    </w:p>
    <w:p>
      <w:pPr>
        <w:pStyle w:val="Style7"/>
        <w:framePr w:h="245" w:wrap="around" w:vAnchor="text" w:hAnchor="margin" w:x="-42" w:y="539"/>
        <w:widowControl w:val="0"/>
        <w:keepNext w:val="0"/>
        <w:keepLines w:val="0"/>
        <w:shd w:val="clear" w:color="auto" w:fill="auto"/>
        <w:bidi w:val="0"/>
        <w:jc w:val="left"/>
        <w:spacing w:before="0" w:after="0" w:line="240" w:lineRule="exact"/>
        <w:ind w:left="0" w:right="0" w:firstLine="0"/>
      </w:pPr>
      <w:r>
        <w:rPr>
          <w:rStyle w:val="CharStyle8"/>
          <w:spacing w:val="0"/>
        </w:rPr>
        <w:t>10.11.2017 №06/12862</w:t>
      </w:r>
    </w:p>
    <w:p>
      <w:pPr>
        <w:pStyle w:val="Style7"/>
        <w:widowControl w:val="0"/>
        <w:keepNext w:val="0"/>
        <w:keepLines w:val="0"/>
        <w:shd w:val="clear" w:color="auto" w:fill="auto"/>
        <w:bidi w:val="0"/>
        <w:jc w:val="left"/>
        <w:spacing w:before="0" w:after="180"/>
        <w:ind w:left="4980" w:right="300"/>
      </w:pPr>
      <w:r>
        <w:rPr>
          <w:lang w:val="ru-RU" w:eastAsia="ru-RU" w:bidi="ru-RU"/>
          <w:w w:val="100"/>
          <w:spacing w:val="0"/>
          <w:color w:val="000000"/>
          <w:position w:val="0"/>
        </w:rPr>
        <w:t>295006, Республика Крым, г. Симферополь, ул. Павленко, д. 34</w:t>
      </w:r>
    </w:p>
    <w:p>
      <w:pPr>
        <w:pStyle w:val="Style7"/>
        <w:framePr w:h="240" w:wrap="around" w:vAnchor="text" w:hAnchor="margin" w:x="-76" w:y="131"/>
        <w:widowControl w:val="0"/>
        <w:keepNext w:val="0"/>
        <w:keepLines w:val="0"/>
        <w:shd w:val="clear" w:color="auto" w:fill="auto"/>
        <w:bidi w:val="0"/>
        <w:jc w:val="left"/>
        <w:spacing w:before="0" w:after="0" w:line="240" w:lineRule="exact"/>
        <w:ind w:left="0" w:right="0" w:firstLine="0"/>
      </w:pPr>
      <w:r>
        <w:rPr>
          <w:rStyle w:val="CharStyle8"/>
          <w:spacing w:val="0"/>
        </w:rPr>
        <w:t>На №0311201711 от 03.11.2017</w:t>
      </w:r>
    </w:p>
    <w:p>
      <w:pPr>
        <w:pStyle w:val="Style7"/>
        <w:numPr>
          <w:ilvl w:val="0"/>
          <w:numId w:val="1"/>
        </w:numPr>
        <w:widowControl w:val="0"/>
        <w:keepNext w:val="0"/>
        <w:keepLines w:val="0"/>
        <w:shd w:val="clear" w:color="auto" w:fill="auto"/>
        <w:bidi w:val="0"/>
        <w:jc w:val="left"/>
        <w:spacing w:before="0" w:after="0"/>
        <w:ind w:left="4980" w:right="0" w:hanging="370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1680" w:hanging="3700"/>
      </w:pPr>
      <w:r>
        <w:rPr>
          <w:lang w:val="ru-RU" w:eastAsia="ru-RU" w:bidi="ru-RU"/>
          <w:w w:val="100"/>
          <w:spacing w:val="0"/>
          <w:color w:val="000000"/>
          <w:position w:val="0"/>
        </w:rPr>
        <w:t>Общество с ограниченной ответственностью «Фаворит»</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295051, Республика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300"/>
        <w:ind w:left="4980" w:right="0" w:firstLine="0"/>
      </w:pPr>
      <w:r>
        <w:rPr>
          <w:lang w:val="ru-RU" w:eastAsia="ru-RU" w:bidi="ru-RU"/>
          <w:w w:val="100"/>
          <w:spacing w:val="0"/>
          <w:color w:val="000000"/>
          <w:position w:val="0"/>
        </w:rPr>
        <w:t>ул. Самокиша, д. 18, офис 404</w:t>
      </w:r>
    </w:p>
    <w:p>
      <w:pPr>
        <w:pStyle w:val="Style7"/>
        <w:numPr>
          <w:ilvl w:val="0"/>
          <w:numId w:val="1"/>
        </w:numPr>
        <w:widowControl w:val="0"/>
        <w:keepNext w:val="0"/>
        <w:keepLines w:val="0"/>
        <w:shd w:val="clear" w:color="auto" w:fill="auto"/>
        <w:bidi w:val="0"/>
        <w:jc w:val="left"/>
        <w:spacing w:before="0" w:after="0"/>
        <w:ind w:left="4980" w:right="96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w:t>
      </w:r>
    </w:p>
    <w:p>
      <w:pPr>
        <w:pStyle w:val="Style7"/>
        <w:widowControl w:val="0"/>
        <w:keepNext w:val="0"/>
        <w:keepLines w:val="0"/>
        <w:shd w:val="clear" w:color="auto" w:fill="auto"/>
        <w:bidi w:val="0"/>
        <w:jc w:val="left"/>
        <w:spacing w:before="0" w:after="180"/>
        <w:ind w:left="4980" w:right="0" w:firstLine="0"/>
      </w:pPr>
      <w:r>
        <w:rPr>
          <w:lang w:val="ru-RU" w:eastAsia="ru-RU" w:bidi="ru-RU"/>
          <w:w w:val="100"/>
          <w:spacing w:val="0"/>
          <w:color w:val="000000"/>
          <w:position w:val="0"/>
        </w:rPr>
        <w:t>наб. Тараса Шевченко, д. 23А</w:t>
      </w:r>
    </w:p>
    <w:p>
      <w:pPr>
        <w:pStyle w:val="Style10"/>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по делу №06/4231-17 о нарушении законодательства Российской Федерации о контрактной системе в сфере закупок</w:t>
      </w:r>
    </w:p>
    <w:p>
      <w:pPr>
        <w:pStyle w:val="Style7"/>
        <w:tabs>
          <w:tab w:leader="none" w:pos="8018" w:val="left"/>
        </w:tabs>
        <w:widowControl w:val="0"/>
        <w:keepNext w:val="0"/>
        <w:keepLines w:val="0"/>
        <w:shd w:val="clear" w:color="auto" w:fill="auto"/>
        <w:bidi w:val="0"/>
        <w:spacing w:before="0" w:after="188" w:line="260" w:lineRule="exact"/>
        <w:ind w:left="300" w:right="0" w:firstLine="0"/>
      </w:pPr>
      <w:r>
        <w:rPr>
          <w:lang w:val="ru-RU" w:eastAsia="ru-RU" w:bidi="ru-RU"/>
          <w:w w:val="100"/>
          <w:spacing w:val="0"/>
          <w:color w:val="000000"/>
          <w:position w:val="0"/>
        </w:rPr>
        <w:t>10.11.2017</w:t>
        <w:tab/>
        <w:t>г. Симферополь</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Заказчика А. А. Галдиной (по доверенности), Л. К. Уркуметова (по доверенности),</w:t>
      </w:r>
      <w:r>
        <w:br w:type="page"/>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Заявителя Н. В. Иванив (по доверенности), —</w:t>
      </w:r>
    </w:p>
    <w:p>
      <w:pPr>
        <w:pStyle w:val="Style7"/>
        <w:tabs>
          <w:tab w:leader="none" w:pos="10206" w:val="righ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рассмотрев жалобу Заявителя от 03.11.2017 №0311201711 (вх. №4803/09 от 07.11.2017) на действия Заказчика при проведении электронного аукциона «Поставка комплектующих для изготовления оконных и дверных блоков из поливинилхлоридных профилей» (извещение № 0575400000117000531)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spacing w:before="0" w:after="10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документации об Аукционе требования к оконным профилям, соответствующие единственному производителю - ООО «ПЭКом».</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 06/12674,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Представители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20.10.2017;</w:t>
      </w:r>
    </w:p>
    <w:p>
      <w:pPr>
        <w:pStyle w:val="Style7"/>
        <w:numPr>
          <w:ilvl w:val="0"/>
          <w:numId w:val="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начальная (максимальная) цена контракта - 4 961 923,70 рублей;</w:t>
      </w:r>
    </w:p>
    <w:p>
      <w:pPr>
        <w:pStyle w:val="Style7"/>
        <w:numPr>
          <w:ilvl w:val="0"/>
          <w:numId w:val="3"/>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дата и время окончания подачи заявок: 07.11.2017 09:00, дата окончания срока рассмотрения первых частей заявок участников: 10.11.2017, дата проведения Аукциона: 13.11.2017.</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пунктом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w:t>
      </w:r>
      <w:r>
        <w:rPr>
          <w:rStyle w:val="CharStyle14"/>
        </w:rPr>
        <w:t>ши</w:t>
      </w:r>
      <w:r>
        <w:rPr>
          <w:lang w:val="ru-RU" w:eastAsia="ru-RU" w:bidi="ru-RU"/>
          <w:w w:val="100"/>
          <w:spacing w:val="0"/>
          <w:color w:val="000000"/>
          <w:position w:val="0"/>
        </w:rPr>
        <w:t>ны и оборудование.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На заседании Комиссии представители Заказчика пояснили, что объектом закупки является поставка комплектующих для изготовления оконных и дверных блоков из поливинилхлоридных профилей, а именно: «...</w:t>
      </w:r>
    </w:p>
    <w:p>
      <w:pPr>
        <w:pStyle w:val="Style15"/>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Заказчик проводит закупку комплектующих для изготовления оконных и дверных блоков из поливинилхлоридных профилей марки - </w:t>
      </w:r>
      <w:r>
        <w:rPr>
          <w:rStyle w:val="CharStyle17"/>
        </w:rPr>
        <w:t xml:space="preserve">Dexen,(возможно предложить </w:t>
      </w:r>
      <w:r>
        <w:rPr>
          <w:rStyle w:val="CharStyle17"/>
          <w:lang w:val="en-US" w:eastAsia="en-US" w:bidi="en-US"/>
        </w:rPr>
        <w:t xml:space="preserve">Brokelman </w:t>
      </w:r>
      <w:r>
        <w:rPr>
          <w:rStyle w:val="CharStyle17"/>
        </w:rPr>
        <w:t xml:space="preserve">или </w:t>
      </w:r>
      <w:r>
        <w:rPr>
          <w:rStyle w:val="CharStyle17"/>
          <w:lang w:val="en-US" w:eastAsia="en-US" w:bidi="en-US"/>
        </w:rPr>
        <w:t xml:space="preserve">Viknaland </w:t>
      </w:r>
      <w:r>
        <w:rPr>
          <w:rStyle w:val="CharStyle17"/>
        </w:rPr>
        <w:t>(в случае наличия) так как данные типы профилей являются идентичными)</w:t>
      </w:r>
    </w:p>
    <w:p>
      <w:pPr>
        <w:pStyle w:val="Style15"/>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На базе одного из обособленных подразделений ФГУП «КЖД» имеется производственная линия, которая изготавливает металлопластиковые изделия и конструкции для нужд Заказчика.</w:t>
      </w:r>
    </w:p>
    <w:p>
      <w:pPr>
        <w:pStyle w:val="Style15"/>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Данная производственная линия оснащена оборудованием, укомплектованным и настроенным под указанные в техническом задании комплектующие, а именно:</w:t>
      </w:r>
    </w:p>
    <w:p>
      <w:pPr>
        <w:pStyle w:val="Style15"/>
        <w:numPr>
          <w:ilvl w:val="0"/>
          <w:numId w:val="3"/>
        </w:numPr>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 xml:space="preserve"> машина для сгибания ПВХ профилей на горячем воздухе с полным комплектом матриц </w:t>
      </w:r>
      <w:r>
        <w:rPr>
          <w:lang w:val="en-US" w:eastAsia="en-US" w:bidi="en-US"/>
          <w:w w:val="100"/>
          <w:spacing w:val="0"/>
          <w:color w:val="000000"/>
          <w:position w:val="0"/>
        </w:rPr>
        <w:t xml:space="preserve">Heat-6000; </w:t>
      </w:r>
      <w:r>
        <w:rPr>
          <w:lang w:val="ru-RU" w:eastAsia="ru-RU" w:bidi="ru-RU"/>
          <w:w w:val="100"/>
          <w:spacing w:val="0"/>
          <w:color w:val="000000"/>
          <w:position w:val="0"/>
        </w:rPr>
        <w:t>(матрица изготовлена под указанный тип ПВХ профиля)</w:t>
      </w:r>
    </w:p>
    <w:p>
      <w:pPr>
        <w:pStyle w:val="Style15"/>
        <w:numPr>
          <w:ilvl w:val="0"/>
          <w:numId w:val="3"/>
        </w:numPr>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 xml:space="preserve"> автоматический углозачистной станок </w:t>
      </w:r>
      <w:r>
        <w:rPr>
          <w:lang w:val="en-US" w:eastAsia="en-US" w:bidi="en-US"/>
          <w:w w:val="100"/>
          <w:spacing w:val="0"/>
          <w:color w:val="000000"/>
          <w:position w:val="0"/>
        </w:rPr>
        <w:t xml:space="preserve">CA-601; </w:t>
      </w:r>
      <w:r>
        <w:rPr>
          <w:lang w:val="ru-RU" w:eastAsia="ru-RU" w:bidi="ru-RU"/>
          <w:w w:val="100"/>
          <w:spacing w:val="0"/>
          <w:color w:val="000000"/>
          <w:position w:val="0"/>
        </w:rPr>
        <w:t>(используется для зачистки сварных углов ПВХ конструкций под прямым углом, порядок зачистки настроен к указанному типу ПВХ профилю)</w:t>
      </w:r>
    </w:p>
    <w:p>
      <w:pPr>
        <w:pStyle w:val="Style15"/>
        <w:numPr>
          <w:ilvl w:val="0"/>
          <w:numId w:val="3"/>
        </w:numPr>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 xml:space="preserve"> автоматический станок для обработки торца импоста с системой охлаждения </w:t>
      </w:r>
      <w:r>
        <w:rPr>
          <w:lang w:val="en-US" w:eastAsia="en-US" w:bidi="en-US"/>
          <w:w w:val="100"/>
          <w:spacing w:val="0"/>
          <w:color w:val="000000"/>
          <w:position w:val="0"/>
        </w:rPr>
        <w:t xml:space="preserve">KM-215s; </w:t>
      </w:r>
      <w:r>
        <w:rPr>
          <w:lang w:val="ru-RU" w:eastAsia="ru-RU" w:bidi="ru-RU"/>
          <w:w w:val="100"/>
          <w:spacing w:val="0"/>
          <w:color w:val="000000"/>
          <w:position w:val="0"/>
        </w:rPr>
        <w:t>(предназначен для фрезерования торцов импоста ПВХ, фреза изготовлена специально под данный тип профиля).</w:t>
      </w:r>
      <w:r>
        <w:br w:type="page"/>
      </w:r>
    </w:p>
    <w:p>
      <w:pPr>
        <w:pStyle w:val="Style15"/>
        <w:widowControl w:val="0"/>
        <w:keepNext w:val="0"/>
        <w:keepLines w:val="0"/>
        <w:shd w:val="clear" w:color="auto" w:fill="auto"/>
        <w:bidi w:val="0"/>
        <w:spacing w:before="0" w:after="0" w:line="274" w:lineRule="exact"/>
        <w:ind w:left="0" w:right="0"/>
      </w:pPr>
      <w:r>
        <w:rPr>
          <w:lang w:val="ru-RU" w:eastAsia="ru-RU" w:bidi="ru-RU"/>
          <w:w w:val="100"/>
          <w:spacing w:val="0"/>
          <w:color w:val="000000"/>
          <w:position w:val="0"/>
        </w:rPr>
        <w:t xml:space="preserve">- станок для сварки углов ПВХ профиля </w:t>
      </w:r>
      <w:r>
        <w:rPr>
          <w:lang w:val="en-US" w:eastAsia="en-US" w:bidi="en-US"/>
          <w:w w:val="100"/>
          <w:spacing w:val="0"/>
          <w:color w:val="000000"/>
          <w:position w:val="0"/>
        </w:rPr>
        <w:t xml:space="preserve">DK502; </w:t>
      </w:r>
      <w:r>
        <w:rPr>
          <w:lang w:val="ru-RU" w:eastAsia="ru-RU" w:bidi="ru-RU"/>
          <w:w w:val="100"/>
          <w:spacing w:val="0"/>
          <w:color w:val="000000"/>
          <w:position w:val="0"/>
        </w:rPr>
        <w:t>(предназначен для сварки углов профиля ПВХ под различными углами в автоматическом режиме. Зажим и давление сварки настроено по данный тип профиля. )</w:t>
      </w:r>
    </w:p>
    <w:p>
      <w:pPr>
        <w:pStyle w:val="Style7"/>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Учитывая приведенное, Комиссия приходит к выводу, что описание объекта закупки не нарушает положений Закона о контрактной системе.</w:t>
      </w:r>
    </w:p>
    <w:p>
      <w:pPr>
        <w:pStyle w:val="Style7"/>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236" w:line="317" w:lineRule="exact"/>
        <w:ind w:left="490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5"/>
        </w:numPr>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06/12674.</w:t>
      </w:r>
    </w:p>
    <w:p>
      <w:pPr>
        <w:pStyle w:val="Style7"/>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11"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11"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154" w:left="922" w:right="764" w:bottom="90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character" w:customStyle="1" w:styleId="CharStyle14">
    <w:name w:val="Основной текст"/>
    <w:basedOn w:val="CharStyle9"/>
    <w:rPr>
      <w:lang w:val="ru-RU" w:eastAsia="ru-RU" w:bidi="ru-RU"/>
      <w:u w:val="single"/>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5) + 13 pt,Курсив"/>
    <w:basedOn w:val="CharStyle16"/>
    <w:rPr>
      <w:lang w:val="ru-RU" w:eastAsia="ru-RU" w:bidi="ru-RU"/>
      <w:i/>
      <w:iCs/>
      <w:sz w:val="26"/>
      <w:szCs w:val="26"/>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both"/>
      <w:spacing w:before="1020" w:line="322"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307" w:lineRule="exact"/>
      <w:ind w:firstLine="86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