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88" w:h="180" w:wrap="none" w:vAnchor="text" w:hAnchor="margin" w:x="9998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4"/>
          <w:b/>
          <w:bCs/>
          <w:spacing w:val="0"/>
        </w:rPr>
        <w:t>сая</w:t>
      </w:r>
    </w:p>
    <w:p>
      <w:pPr>
        <w:pStyle w:val="Style5"/>
        <w:framePr w:w="339" w:h="171" w:wrap="none" w:vAnchor="text" w:hAnchor="margin" w:x="10017" w:y="123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к,</w:t>
      </w:r>
    </w:p>
    <w:p>
      <w:pPr>
        <w:pStyle w:val="Style7"/>
        <w:framePr w:w="517" w:h="155" w:wrap="none" w:vAnchor="text" w:hAnchor="margin" w:x="9993" w:y="274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), Д.</w:t>
      </w:r>
    </w:p>
    <w:p>
      <w:pPr>
        <w:pStyle w:val="Style9"/>
        <w:framePr w:w="699" w:h="201" w:wrap="none" w:vAnchor="text" w:hAnchor="margin" w:x="9931" w:y="446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0"/>
          <w:spacing w:val="0"/>
        </w:rPr>
        <w:t>д. 14,</w:t>
      </w:r>
    </w:p>
    <w:p>
      <w:pPr>
        <w:pStyle w:val="Style11"/>
        <w:framePr w:w="392" w:h="180" w:wrap="none" w:vAnchor="text" w:hAnchor="margin" w:x="3076" w:y="467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3"/>
          <w:spacing w:val="0"/>
        </w:rPr>
        <w:t>от</w:t>
      </w:r>
    </w:p>
    <w:p>
      <w:pPr>
        <w:pStyle w:val="Style3"/>
        <w:framePr w:w="4909" w:h="1525" w:wrap="none" w:vAnchor="text" w:hAnchor="margin" w:x="715" w:y="1304"/>
        <w:widowControl w:val="0"/>
        <w:keepNext w:val="0"/>
        <w:keepLines w:val="0"/>
        <w:shd w:val="clear" w:color="auto" w:fill="auto"/>
        <w:bidi w:val="0"/>
        <w:jc w:val="center"/>
        <w:spacing w:before="0" w:after="78" w:line="250" w:lineRule="exact"/>
        <w:ind w:left="0" w:right="0" w:firstLine="0"/>
      </w:pPr>
      <w:r>
        <w:rPr>
          <w:rStyle w:val="CharStyle14"/>
          <w:b/>
          <w:bCs/>
          <w:spacing w:val="0"/>
        </w:rPr>
        <w:t>ФЕДЕРАЛЬНАЯ АНТИМОНОПОЛЬНАЯ СЛУЖБА</w:t>
      </w:r>
    </w:p>
    <w:p>
      <w:pPr>
        <w:pStyle w:val="Style15"/>
        <w:framePr w:w="4909" w:h="1525" w:wrap="none" w:vAnchor="text" w:hAnchor="margin" w:x="715" w:y="130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7"/>
          <w:b/>
          <w:bCs/>
          <w:spacing w:val="0"/>
        </w:rPr>
        <w:t>УПРАВЛЕНИЕ Федеральной антимонопольной службы по Архангельской области</w:t>
      </w:r>
    </w:p>
    <w:p>
      <w:pPr>
        <w:pStyle w:val="Style7"/>
        <w:framePr w:w="3507" w:h="593" w:wrap="none" w:vAnchor="text" w:hAnchor="margin" w:x="1420" w:y="3272"/>
        <w:widowControl w:val="0"/>
        <w:keepNext w:val="0"/>
        <w:keepLines w:val="0"/>
        <w:shd w:val="clear" w:color="auto" w:fill="auto"/>
        <w:bidi w:val="0"/>
        <w:jc w:val="center"/>
        <w:spacing w:before="0" w:after="0" w:line="197" w:lineRule="exact"/>
        <w:ind w:left="0" w:right="0" w:firstLine="0"/>
      </w:pPr>
      <w:r>
        <w:rPr>
          <w:rStyle w:val="CharStyle18"/>
          <w:spacing w:val="0"/>
        </w:rPr>
        <w:t xml:space="preserve">ул. К. Либкнехта, 2, г. Архангельск, 163000 Тел.: (8182) 20-73-21, факс: (8182) 21-54-45 </w:t>
      </w:r>
      <w:r>
        <w:rPr>
          <w:rStyle w:val="CharStyle18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8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to29@fas.gov.ru</w:t>
      </w:r>
      <w:r>
        <w:fldChar w:fldCharType="end"/>
      </w:r>
    </w:p>
    <w:p>
      <w:pPr>
        <w:pStyle w:val="Style11"/>
        <w:framePr w:w="704" w:h="185" w:wrap="none" w:vAnchor="text" w:hAnchor="margin" w:x="695" w:y="468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3"/>
          <w:spacing w:val="0"/>
        </w:rPr>
        <w:t>На №</w:t>
      </w:r>
    </w:p>
    <w:p>
      <w:pPr>
        <w:pStyle w:val="Style19"/>
        <w:framePr w:w="402" w:h="200" w:wrap="none" w:vAnchor="text" w:hAnchor="margin" w:x="3081" w:y="428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1"/>
        </w:rPr>
        <w:t>№</w:t>
      </w:r>
    </w:p>
    <w:p>
      <w:pPr>
        <w:pStyle w:val="Style3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203" w:line="180" w:lineRule="exact"/>
        <w:ind w:left="140" w:right="0" w:firstLine="0"/>
      </w:pPr>
      <w:r>
        <w:rPr>
          <w:rStyle w:val="CharStyle4"/>
          <w:b/>
          <w:bCs/>
          <w:spacing w:val="0"/>
        </w:rPr>
        <w:t>Дело № 342оз-17</w:t>
      </w:r>
    </w:p>
    <w:p>
      <w:pPr>
        <w:pStyle w:val="Style3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40" w:right="0" w:firstLine="0"/>
      </w:pPr>
      <w:r>
        <w:rPr>
          <w:rStyle w:val="CharStyle22"/>
          <w:b/>
          <w:bCs/>
          <w:spacing w:val="0"/>
        </w:rPr>
        <w:t>Заказчик :</w:t>
      </w:r>
    </w:p>
    <w:p>
      <w:pPr>
        <w:pStyle w:val="Style3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40" w:right="160" w:firstLine="0"/>
      </w:pPr>
      <w:r>
        <w:rPr>
          <w:rStyle w:val="CharStyle4"/>
          <w:b/>
          <w:bCs/>
          <w:spacing w:val="0"/>
        </w:rPr>
        <w:t>ГБУЗ Архангельской области «Вельс центральная районная больница»</w:t>
      </w:r>
    </w:p>
    <w:p>
      <w:pPr>
        <w:pStyle w:val="Style11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40" w:right="160" w:firstLine="0"/>
      </w:pPr>
      <w:r>
        <w:rPr>
          <w:rStyle w:val="CharStyle12"/>
          <w:spacing w:val="0"/>
        </w:rPr>
        <w:t xml:space="preserve">165150, Архангельская область, г. Вельс ул. Конева, 28-А </w:t>
      </w:r>
      <w:r>
        <w:rPr>
          <w:rStyle w:val="CharStyle12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"mailto:velskcrbzakupki@mail.ru"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velskcrbzakupki@mail.ru</w:t>
      </w:r>
      <w:r>
        <w:fldChar w:fldCharType="end"/>
      </w:r>
      <w:r>
        <w:rPr>
          <w:rStyle w:val="CharStyle12"/>
          <w:lang w:val="en-US" w:eastAsia="en-US" w:bidi="en-US"/>
          <w:spacing w:val="0"/>
        </w:rPr>
        <w:t xml:space="preserve"> </w:t>
      </w:r>
      <w:r>
        <w:rPr>
          <w:rStyle w:val="CharStyle23"/>
          <w:spacing w:val="0"/>
        </w:rPr>
        <w:t>Уполномоченный орган :</w:t>
      </w:r>
      <w:r>
        <w:rPr>
          <w:rStyle w:val="CharStyle24"/>
          <w:spacing w:val="0"/>
        </w:rPr>
        <w:t xml:space="preserve"> Контрактное агентство Архангельск^ области</w:t>
      </w:r>
    </w:p>
    <w:p>
      <w:pPr>
        <w:pStyle w:val="Style11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140" w:right="160" w:firstLine="0"/>
      </w:pPr>
      <w:r>
        <w:rPr>
          <w:rStyle w:val="CharStyle12"/>
          <w:spacing w:val="0"/>
        </w:rPr>
        <w:t>163000, г. Архангельск, ул. Выучейскоп 18, оф. 904</w:t>
      </w:r>
    </w:p>
    <w:p>
      <w:pPr>
        <w:pStyle w:val="Style11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213" w:line="180" w:lineRule="exact"/>
        <w:ind w:left="140" w:right="0" w:firstLine="0"/>
      </w:pPr>
      <w:r>
        <w:rPr>
          <w:rStyle w:val="CharStyle12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dkp@dvinaland.ru</w:t>
      </w:r>
      <w:r>
        <w:fldChar w:fldCharType="end"/>
      </w:r>
    </w:p>
    <w:p>
      <w:pPr>
        <w:pStyle w:val="Style3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40" w:right="0" w:firstLine="0"/>
      </w:pPr>
      <w:r>
        <w:rPr>
          <w:rStyle w:val="CharStyle22"/>
          <w:b/>
          <w:bCs/>
          <w:spacing w:val="0"/>
        </w:rPr>
        <w:t>Оператор электронной площадки:</w:t>
      </w:r>
    </w:p>
    <w:p>
      <w:pPr>
        <w:pStyle w:val="Style3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40" w:right="160" w:firstLine="0"/>
      </w:pPr>
      <w:r>
        <w:rPr>
          <w:rStyle w:val="CharStyle4"/>
          <w:b/>
          <w:bCs/>
          <w:spacing w:val="0"/>
        </w:rPr>
        <w:t>АО «Единая электронная торговая площадка»</w:t>
      </w:r>
    </w:p>
    <w:p>
      <w:pPr>
        <w:pStyle w:val="Style11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40" w:right="160" w:firstLine="0"/>
      </w:pPr>
      <w:r>
        <w:rPr>
          <w:rStyle w:val="CharStyle12"/>
          <w:spacing w:val="0"/>
        </w:rPr>
        <w:t>117312, г. Москва, ул. Кожевническая, стр. 5</w:t>
      </w:r>
    </w:p>
    <w:p>
      <w:pPr>
        <w:pStyle w:val="Style11"/>
        <w:framePr w:w="4002" w:h="5184" w:wrap="none" w:vAnchor="text" w:hAnchor="margin" w:x="62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40" w:right="0" w:firstLine="0"/>
      </w:pPr>
      <w:r>
        <w:rPr>
          <w:rStyle w:val="CharStyle12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info@roseltorg.ru</w:t>
      </w:r>
      <w:r>
        <w:fldChar w:fldCharType="end"/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72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581" w:left="2572" w:right="2572" w:bottom="3581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26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"Медикал лизинг-консалтинг"</w:t>
      </w:r>
    </w:p>
    <w:p>
      <w:pPr>
        <w:pStyle w:val="Style11"/>
        <w:framePr w:h="179" w:wrap="around" w:vAnchor="text" w:hAnchor="margin" w:x="3678" w:y="-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rStyle w:val="CharStyle12"/>
          <w:spacing w:val="0"/>
        </w:rPr>
        <w:t>оссе,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  <w:sectPr>
          <w:type w:val="continuous"/>
          <w:pgSz w:w="16838" w:h="23810"/>
          <w:pgMar w:top="3997" w:left="8980" w:right="4146" w:bottom="37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123371, Москва, Волоколамское щ д.81, кор.2, стр.5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"mailto:urist@medcom.ru"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urist@medcom.ru</w:t>
      </w:r>
      <w:r>
        <w:fldChar w:fldCharType="end"/>
      </w: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6838" w:h="23810"/>
          <w:pgMar w:top="9498" w:left="7761" w:right="7612" w:bottom="37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221" w:wrap="around" w:hAnchor="margin" w:x="7916" w:y="695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6"/>
          <w:b/>
          <w:bCs/>
          <w:spacing w:val="0"/>
        </w:rPr>
        <w:t>г. Архангельск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 октября 2017 года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/>
        <w:ind w:left="2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23" w:line="220" w:lineRule="exact"/>
        <w:ind w:left="760" w:right="0" w:firstLine="0"/>
      </w:pPr>
      <w:r>
        <w:rPr>
          <w:rStyle w:val="CharStyle38"/>
          <w:b/>
          <w:bCs/>
        </w:rPr>
        <w:t>Председатель комиссии:</w:t>
      </w:r>
    </w:p>
    <w:p>
      <w:pPr>
        <w:pStyle w:val="Style29"/>
        <w:tabs>
          <w:tab w:leader="none" w:pos="2321" w:val="left"/>
          <w:tab w:leader="none" w:pos="9056" w:val="center"/>
        </w:tabs>
        <w:widowControl w:val="0"/>
        <w:keepNext w:val="0"/>
        <w:keepLines w:val="0"/>
        <w:shd w:val="clear" w:color="auto" w:fill="auto"/>
        <w:bidi w:val="0"/>
        <w:spacing w:before="0" w:after="85" w:line="22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 Управления - начальник отдела</w:t>
        <w:tab/>
        <w:t>контроля</w:t>
      </w:r>
    </w:p>
    <w:p>
      <w:pPr>
        <w:pStyle w:val="Style39"/>
        <w:widowControl w:val="0"/>
        <w:keepNext/>
        <w:keepLines/>
        <w:shd w:val="clear" w:color="auto" w:fill="auto"/>
        <w:bidi w:val="0"/>
        <w:jc w:val="left"/>
        <w:spacing w:before="0" w:after="114" w:line="220" w:lineRule="exact"/>
        <w:ind w:left="24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760" w:right="0" w:firstLine="0"/>
      </w:pPr>
      <w:r>
        <w:rPr>
          <w:rStyle w:val="CharStyle38"/>
          <w:b/>
          <w:bCs/>
        </w:rPr>
        <w:t>Члены комиссии:</w:t>
      </w:r>
    </w:p>
    <w:p>
      <w:pPr>
        <w:pStyle w:val="Style29"/>
        <w:tabs>
          <w:tab w:leader="none" w:pos="2321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Спиридонова О.Г.</w:t>
        <w:tab/>
        <w:t>Главный специалист-эксперт отдела контроля закупок,</w:t>
      </w:r>
    </w:p>
    <w:p>
      <w:pPr>
        <w:pStyle w:val="Style29"/>
        <w:tabs>
          <w:tab w:leader="none" w:pos="232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Чирова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JI.A.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Специалист-эксперт отдела контроля закупок,</w:t>
      </w:r>
    </w:p>
    <w:p>
      <w:pPr>
        <w:pStyle w:val="Style29"/>
        <w:tabs>
          <w:tab w:leader="none" w:pos="2473" w:val="left"/>
          <w:tab w:leader="none" w:pos="8522" w:val="center"/>
          <w:tab w:leader="none" w:pos="9670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</w:t>
        <w:tab/>
        <w:t>пункта 1 части 15 статьи 99, статьи 106 Федерального</w:t>
        <w:tab/>
        <w:t>закона с т</w:t>
        <w:tab/>
        <w:t>05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23" w:line="274" w:lineRule="exact"/>
        <w:ind w:left="2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19" w:line="220" w:lineRule="exact"/>
        <w:ind w:left="200" w:right="0" w:firstLine="700"/>
      </w:pPr>
      <w:r>
        <w:rPr>
          <w:rStyle w:val="CharStyle38"/>
          <w:b/>
          <w:bCs/>
        </w:rPr>
        <w:t>в присутствии представителен от: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0" w:right="20" w:firstLine="700"/>
      </w:pPr>
      <w:r>
        <w:rPr>
          <w:rStyle w:val="CharStyle41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Анисимова А.А. (доверенность от 31.03.2017 № 23- </w:t>
      </w:r>
      <w:r>
        <w:rPr>
          <w:rStyle w:val="CharStyle41"/>
        </w:rPr>
        <w:t xml:space="preserve">Заказчик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уведомлен надлежащим образом о времени и месте </w:t>
      </w:r>
      <w:r>
        <w:rPr>
          <w:rStyle w:val="CharStyle42"/>
        </w:rPr>
        <w:t xml:space="preserve">paccMOTf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дела, своего представителя не направил.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0" w:firstLine="700"/>
      </w:pPr>
      <w:r>
        <w:rPr>
          <w:rStyle w:val="CharStyle44"/>
        </w:rPr>
        <w:t xml:space="preserve">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заявил ходатайство о рассмотрении дела в отсутствии их представите.</w:t>
      </w:r>
    </w:p>
    <w:p>
      <w:pPr>
        <w:pStyle w:val="Style29"/>
        <w:framePr w:h="210" w:vSpace="57" w:wrap="around" w:vAnchor="text" w:hAnchor="margin" w:x="9166" w:y="26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0"/>
          <w:spacing w:val="0"/>
        </w:rPr>
        <w:t>ения</w:t>
      </w:r>
    </w:p>
    <w:p>
      <w:pPr>
        <w:pStyle w:val="Style45"/>
        <w:widowControl w:val="0"/>
        <w:keepNext/>
        <w:keepLines/>
        <w:shd w:val="clear" w:color="auto" w:fill="auto"/>
        <w:bidi w:val="0"/>
        <w:spacing w:before="0" w:after="519" w:line="150" w:lineRule="exact"/>
        <w:ind w:left="0" w:right="30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I У,</w:t>
      </w:r>
      <w:bookmarkEnd w:id="1"/>
    </w:p>
    <w:p>
      <w:pPr>
        <w:pStyle w:val="Style31"/>
        <w:framePr w:h="254" w:wrap="around" w:vAnchor="text" w:hAnchor="margin" w:x="9044" w:y="7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>321059</w:t>
      </w:r>
    </w:p>
    <w:p>
      <w:pPr>
        <w:pStyle w:val="Style39"/>
        <w:widowControl w:val="0"/>
        <w:keepNext/>
        <w:keepLines/>
        <w:shd w:val="clear" w:color="auto" w:fill="auto"/>
        <w:bidi w:val="0"/>
        <w:jc w:val="right"/>
        <w:spacing w:before="0" w:after="682" w:line="220" w:lineRule="exact"/>
        <w:ind w:left="0" w:right="18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ля.</w:t>
      </w:r>
      <w:bookmarkEnd w:id="2"/>
    </w:p>
    <w:p>
      <w:pPr>
        <w:pStyle w:val="Style47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rStyle w:val="CharStyle49"/>
        </w:rPr>
        <w:t>«ИПП «ПС», пр. Новгородский, 32, ИНН 2901120811, зак. 787, т. 2500, 16.08.2017</w:t>
      </w:r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163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 октября 2017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"Медикал лизинг-консалтинг" (далее - Заявитель) на действия заказчика - ГБУЗ Архангельской области «Вельская центральная районная больница» (далее - Заказчик), Уполномоченного органа - Контрактного агентства Архангельской области (далее - Уполномоченный орган), при проведении электронного аукциона на право заключения контракта на поставку лекарственных средств (извещение № 0124200000617005528).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4" w:line="220" w:lineRule="exact"/>
        <w:ind w:left="20" w:right="0" w:firstLine="700"/>
      </w:pPr>
      <w:r>
        <w:rPr>
          <w:rStyle w:val="CharStyle38"/>
          <w:b/>
          <w:bCs/>
        </w:rPr>
        <w:t>Содержание жалобы: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26.10.2017 № 7078.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представил письменные объяснения от 27.10.2017 № 314-05-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1097.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9"/>
        <w:tabs>
          <w:tab w:leader="none" w:pos="94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29"/>
        <w:tabs>
          <w:tab w:leader="none" w:pos="94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29"/>
        <w:tabs>
          <w:tab w:leader="none" w:pos="94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29"/>
        <w:tabs>
          <w:tab w:leader="none" w:pos="94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29"/>
        <w:tabs>
          <w:tab w:leader="none" w:pos="94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32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16.10.2017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№0124200000617005528 о проведении электронного аукциона и документация об электронном аукционе на право заключения контракта на поставку лекарственных средств (далее - документация об аукционе).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- 885 366,00 рублей.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«Единая электронная торговая площадка».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указание срока годности лекарственного препарата в процентах нарушает положения частей 1 и 2 статьи 33 ФЗ «О контрактной системе» и влечет ограничение количества участников закупки.</w:t>
      </w:r>
      <w:r>
        <w:br w:type="page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33 ФЗ «О контрактной системе», зак, при описании в документации о закупке объекта закупки должен руководствов следующими правилами, в том числе: описание объекта закупки должно не объективный характер. В описании объекта закупки указываются функциональ технические и качественные характеристики, эксплуатационные характеристики обт закупки (при необходимости). В описание объекта закупки не должны включи требования, которые влекут за собой ограничение количества участников закупки исключением случаев, если не имеется другого способа, обеспечивающего более точг чёткое описание характеристик объекта закупки.</w:t>
      </w:r>
    </w:p>
    <w:p>
      <w:pPr>
        <w:pStyle w:val="Style29"/>
        <w:framePr w:h="210" w:wrap="around" w:hAnchor="margin" w:x="8941" w:y="-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0"/>
          <w:spacing w:val="0"/>
        </w:rPr>
        <w:t>аз</w:t>
      </w:r>
    </w:p>
    <w:p>
      <w:pPr>
        <w:pStyle w:val="Style29"/>
        <w:framePr w:w="645" w:h="2198" w:wrap="around" w:hAnchor="margin" w:x="8975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rStyle w:val="CharStyle30"/>
          <w:spacing w:val="0"/>
        </w:rPr>
        <w:t>чик</w:t>
      </w:r>
    </w:p>
    <w:p>
      <w:pPr>
        <w:pStyle w:val="Style29"/>
        <w:framePr w:w="645" w:h="2198" w:wrap="around" w:hAnchor="margin" w:x="8975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rStyle w:val="CharStyle30"/>
          <w:spacing w:val="0"/>
        </w:rPr>
        <w:t>Дться</w:t>
      </w:r>
    </w:p>
    <w:p>
      <w:pPr>
        <w:pStyle w:val="Style29"/>
        <w:framePr w:w="645" w:h="2198" w:wrap="around" w:hAnchor="margin" w:x="8975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rStyle w:val="CharStyle30"/>
          <w:spacing w:val="0"/>
        </w:rPr>
        <w:t>сить</w:t>
      </w:r>
    </w:p>
    <w:p>
      <w:pPr>
        <w:pStyle w:val="Style29"/>
        <w:framePr w:w="645" w:h="2198" w:wrap="around" w:hAnchor="margin" w:x="8975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rStyle w:val="CharStyle30"/>
          <w:spacing w:val="0"/>
        </w:rPr>
        <w:t>ные,</w:t>
      </w:r>
    </w:p>
    <w:p>
      <w:pPr>
        <w:pStyle w:val="Style29"/>
        <w:framePr w:w="645" w:h="2198" w:wrap="around" w:hAnchor="margin" w:x="8975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rStyle w:val="CharStyle30"/>
          <w:spacing w:val="0"/>
        </w:rPr>
        <w:t>екта</w:t>
      </w:r>
    </w:p>
    <w:p>
      <w:pPr>
        <w:pStyle w:val="Style33"/>
        <w:framePr w:w="645" w:h="2198" w:wrap="around" w:hAnchor="margin" w:x="8975" w:y="-5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1ТБСЯ</w:t>
      </w:r>
    </w:p>
    <w:p>
      <w:pPr>
        <w:pStyle w:val="Style29"/>
        <w:framePr w:w="645" w:h="2198" w:wrap="around" w:hAnchor="margin" w:x="8975" w:y="-55"/>
        <w:widowControl w:val="0"/>
        <w:keepNext w:val="0"/>
        <w:keepLines w:val="0"/>
        <w:shd w:val="clear" w:color="auto" w:fill="auto"/>
        <w:bidi w:val="0"/>
        <w:jc w:val="right"/>
        <w:spacing w:before="0" w:after="0" w:line="269" w:lineRule="exact"/>
        <w:ind w:left="100" w:right="20" w:firstLine="0"/>
      </w:pPr>
      <w:r>
        <w:rPr>
          <w:rStyle w:val="CharStyle30"/>
          <w:spacing w:val="0"/>
        </w:rPr>
        <w:t>за ое и</w:t>
      </w:r>
    </w:p>
    <w:p>
      <w:pPr>
        <w:pStyle w:val="Style29"/>
        <w:framePr w:w="645" w:h="1374" w:vSpace="299" w:wrap="around" w:vAnchor="text" w:hAnchor="margin" w:x="8970" w:y="-3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100" w:right="0" w:firstLine="0"/>
      </w:pPr>
      <w:r>
        <w:rPr>
          <w:rStyle w:val="CharStyle30"/>
          <w:spacing w:val="0"/>
        </w:rPr>
        <w:t>ке в ной Ствие этом зкже</w:t>
      </w:r>
    </w:p>
    <w:p>
      <w:pPr>
        <w:pStyle w:val="Style29"/>
        <w:framePr w:h="210" w:vSpace="38" w:wrap="around" w:vAnchor="text" w:hAnchor="margin" w:x="8936" w:y="29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0"/>
          <w:spacing w:val="0"/>
        </w:rPr>
        <w:t>кг: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33 ФЗ «О контрактной системе», документация о закуф соответствии с требованиями, указанными в части 1 статьи 33 ФЗ «О контра: системе», должна содержать показатели, позволяющие определить соответ закупаемых товара, работы, услуги установленным заказчиком требованиям. При указываются максимальные и (или) минимальные значения таких показателей, а т значения показателей, которые не могут изменяться.</w:t>
      </w:r>
    </w:p>
    <w:p>
      <w:pPr>
        <w:pStyle w:val="Style29"/>
        <w:framePr w:w="611" w:h="2176" w:vSpace="271" w:wrap="around" w:vAnchor="text" w:hAnchor="margin" w:x="9008" w:y="-54"/>
        <w:widowControl w:val="0"/>
        <w:keepNext w:val="0"/>
        <w:keepLines w:val="0"/>
        <w:shd w:val="clear" w:color="auto" w:fill="auto"/>
        <w:bidi w:val="0"/>
        <w:jc w:val="right"/>
        <w:spacing w:before="0" w:after="235" w:line="278" w:lineRule="exact"/>
        <w:ind w:left="160" w:right="0" w:firstLine="0"/>
      </w:pPr>
      <w:r>
        <w:rPr>
          <w:rStyle w:val="CharStyle30"/>
          <w:spacing w:val="0"/>
        </w:rPr>
        <w:t>ия к их да, к лиц, при</w:t>
      </w:r>
    </w:p>
    <w:p>
      <w:pPr>
        <w:pStyle w:val="Style29"/>
        <w:framePr w:w="611" w:h="2176" w:vSpace="271" w:wrap="around" w:vAnchor="text" w:hAnchor="margin" w:x="9008" w:y="-54"/>
        <w:widowControl w:val="0"/>
        <w:keepNext w:val="0"/>
        <w:keepLines w:val="0"/>
        <w:shd w:val="clear" w:color="auto" w:fill="auto"/>
        <w:bidi w:val="0"/>
        <w:jc w:val="right"/>
        <w:spacing w:before="0" w:after="11" w:line="210" w:lineRule="exact"/>
        <w:ind w:left="0" w:right="0" w:firstLine="0"/>
      </w:pPr>
      <w:r>
        <w:rPr>
          <w:rStyle w:val="CharStyle30"/>
          <w:spacing w:val="0"/>
        </w:rPr>
        <w:t>ется</w:t>
      </w:r>
    </w:p>
    <w:p>
      <w:pPr>
        <w:pStyle w:val="Style29"/>
        <w:framePr w:w="611" w:h="2176" w:vSpace="271" w:wrap="around" w:vAnchor="text" w:hAnchor="margin" w:x="9008" w:y="-54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0" w:firstLine="0"/>
      </w:pPr>
      <w:r>
        <w:rPr>
          <w:rStyle w:val="CharStyle30"/>
          <w:spacing w:val="0"/>
        </w:rPr>
        <w:t>ется</w:t>
      </w:r>
    </w:p>
    <w:p>
      <w:pPr>
        <w:pStyle w:val="Style35"/>
        <w:framePr w:h="200" w:vSpace="70" w:wrap="around" w:vAnchor="text" w:hAnchor="margin" w:x="9019" w:y="29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ии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4 статьи 33 ФЗ «О контрактной системе» требоваь гарантийному сроку товара, работы, услуги и (или) объему предоставления гарант качества, к гарантийному обслуживанию товара, к расходам на эксплуатацию това обязательности осуществления монтажа и наладки товара, к обучею осуществляющих использование и обслуживание товара, устанавливаются заказчикох необходимости.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305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разделу II «Сведения о товаре, на поставку которого осуществи^ закупка, и об условиях контракта» документации об аукционе объектом закупки явля поставка лекарственных средств - 1 комплект:</w:t>
      </w:r>
    </w:p>
    <w:tbl>
      <w:tblPr>
        <w:tblOverlap w:val="never"/>
        <w:tblLayout w:type="fixed"/>
        <w:jc w:val="center"/>
      </w:tblPr>
      <w:tblGrid>
        <w:gridCol w:w="470"/>
        <w:gridCol w:w="3490"/>
        <w:gridCol w:w="1157"/>
        <w:gridCol w:w="2669"/>
        <w:gridCol w:w="763"/>
        <w:gridCol w:w="370"/>
        <w:gridCol w:w="394"/>
      </w:tblGrid>
      <w:tr>
        <w:trPr>
          <w:trHeight w:val="178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40" w:right="0" w:firstLine="0"/>
            </w:pPr>
            <w:r>
              <w:rPr>
                <w:rStyle w:val="CharStyle50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50"/>
              </w:rPr>
              <w:t>Наименование объекта закупки (Международное непатентованное или группировочное или химическое наименование лекарственного препарата или фармакотерапевтическая группа)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90" w:lineRule="exact"/>
              <w:ind w:left="0" w:right="20" w:firstLine="0"/>
            </w:pPr>
            <w:r>
              <w:rPr>
                <w:rStyle w:val="CharStyle50"/>
              </w:rPr>
              <w:t>Характе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4" w:lineRule="exact"/>
              <w:ind w:left="280" w:right="0" w:hanging="260"/>
            </w:pPr>
            <w:r>
              <w:rPr>
                <w:rStyle w:val="CharStyle50"/>
              </w:rPr>
              <w:t>эистика лекарственного препарата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190" w:lineRule="exact"/>
              <w:ind w:left="240" w:right="0" w:firstLine="0"/>
            </w:pPr>
            <w:r>
              <w:rPr>
                <w:rStyle w:val="CharStyle50"/>
              </w:rPr>
              <w:t>Ед.</w:t>
            </w:r>
          </w:p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190" w:lineRule="exact"/>
              <w:ind w:left="240" w:right="0" w:firstLine="0"/>
            </w:pPr>
            <w:r>
              <w:rPr>
                <w:rStyle w:val="CharStyle50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120" w:line="190" w:lineRule="exact"/>
              <w:ind w:left="0" w:right="20" w:firstLine="0"/>
            </w:pPr>
            <w:r>
              <w:rPr>
                <w:rStyle w:val="CharStyle50"/>
              </w:rPr>
              <w:t>Кс</w:t>
            </w:r>
          </w:p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120" w:after="0" w:line="190" w:lineRule="exact"/>
              <w:ind w:left="0" w:right="20" w:firstLine="0"/>
            </w:pPr>
            <w:r>
              <w:rPr>
                <w:rStyle w:val="CharStyle50"/>
              </w:rPr>
              <w:t>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90" w:lineRule="exact"/>
              <w:ind w:left="20" w:right="0" w:firstLine="0"/>
            </w:pPr>
            <w:r>
              <w:rPr>
                <w:rStyle w:val="CharStyle50"/>
              </w:rPr>
              <w:t>л-</w:t>
            </w:r>
          </w:p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90" w:lineRule="exact"/>
              <w:ind w:left="20" w:right="0" w:firstLine="0"/>
            </w:pPr>
            <w:r>
              <w:rPr>
                <w:rStyle w:val="CharStyle50"/>
              </w:rPr>
              <w:t>0</w:t>
            </w:r>
          </w:p>
        </w:tc>
      </w:tr>
      <w:tr>
        <w:trPr>
          <w:trHeight w:val="7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3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50"/>
              </w:rPr>
              <w:t>Имипенем+Циластатин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50"/>
              </w:rPr>
              <w:t>порошок для приготовления раствора для инфузий 500мг+500мг, флаконы № 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50"/>
              </w:rPr>
              <w:t>уп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90" w:lineRule="exact"/>
              <w:ind w:left="0" w:right="20" w:firstLine="0"/>
            </w:pPr>
            <w:r>
              <w:rPr>
                <w:rStyle w:val="CharStyle50"/>
              </w:rPr>
              <w:t xml:space="preserve">1 </w:t>
            </w:r>
            <w:r>
              <w:rPr>
                <w:rStyle w:val="CharStyle51"/>
              </w:rPr>
              <w:t>i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0" w:right="0" w:firstLine="0"/>
            </w:pPr>
            <w:r>
              <w:rPr>
                <w:rStyle w:val="CharStyle50"/>
              </w:rPr>
              <w:t>00</w:t>
            </w:r>
          </w:p>
        </w:tc>
      </w:tr>
      <w:tr>
        <w:trPr>
          <w:trHeight w:val="101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31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50"/>
              </w:rPr>
              <w:t>Цефтазидим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50"/>
              </w:rPr>
              <w:t>порошок д(ля приготовления раствора для внутривенного и внутримышечного введения флакон 2 г. № 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50"/>
              </w:rPr>
              <w:t>уп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90" w:lineRule="exact"/>
              <w:ind w:left="0" w:right="20" w:firstLine="0"/>
            </w:pPr>
            <w:r>
              <w:rPr>
                <w:rStyle w:val="CharStyle50"/>
              </w:rPr>
              <w:t>2(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9"/>
              <w:framePr w:w="931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0" w:right="0" w:firstLine="0"/>
            </w:pPr>
            <w:r>
              <w:rPr>
                <w:rStyle w:val="CharStyle50"/>
              </w:rPr>
              <w:t>)0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4536" w:left="3136" w:right="3136" w:bottom="4358" w:header="0" w:footer="3" w:gutter="869"/>
          <w:rtlGutter/>
          <w:cols w:space="720"/>
          <w:noEndnote/>
          <w:docGrid w:linePitch="360"/>
        </w:sectPr>
      </w:pPr>
    </w:p>
    <w:p>
      <w:pPr>
        <w:pStyle w:val="Style29"/>
        <w:framePr w:w="573" w:h="826" w:wrap="around" w:vAnchor="text" w:hAnchor="margin" w:x="9885" w:y="-5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0" w:firstLine="0"/>
      </w:pPr>
      <w:r>
        <w:rPr>
          <w:rStyle w:val="CharStyle30"/>
          <w:spacing w:val="0"/>
        </w:rPr>
        <w:t>дела</w:t>
      </w:r>
    </w:p>
    <w:p>
      <w:pPr>
        <w:pStyle w:val="Style29"/>
        <w:framePr w:w="573" w:h="826" w:wrap="around" w:vAnchor="text" w:hAnchor="margin" w:x="9885" w:y="-5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0" w:firstLine="0"/>
      </w:pPr>
      <w:r>
        <w:rPr>
          <w:rStyle w:val="CharStyle30"/>
          <w:spacing w:val="0"/>
        </w:rPr>
        <w:t>чика</w:t>
      </w:r>
    </w:p>
    <w:p>
      <w:pPr>
        <w:pStyle w:val="Style29"/>
        <w:framePr w:w="573" w:h="826" w:wrap="around" w:vAnchor="text" w:hAnchor="margin" w:x="9885" w:y="-5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0" w:right="0" w:firstLine="0"/>
      </w:pPr>
      <w:r>
        <w:rPr>
          <w:rStyle w:val="CharStyle30"/>
          <w:spacing w:val="0"/>
        </w:rPr>
        <w:t>ной</w:t>
      </w:r>
    </w:p>
    <w:p>
      <w:pPr>
        <w:pStyle w:val="Style33"/>
        <w:framePr w:h="140" w:vSpace="113" w:wrap="around" w:vAnchor="text" w:hAnchor="margin" w:x="9746" w:y="59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ИВ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2 «Срок и объем представления гарантий качества Товара» данного раз, установлено, что остаточный срок годности Товара на дату поставки в адрес Зака- должен составлять не менее 60% срока годности, установленного нормат: документацией.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письменных объяснениях Заказчик поясняет следующее.</w:t>
      </w:r>
    </w:p>
    <w:p>
      <w:pPr>
        <w:pStyle w:val="Style29"/>
        <w:framePr w:w="470" w:h="826" w:wrap="around" w:vAnchor="text" w:hAnchor="margin" w:x="9983" w:y="-50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rStyle w:val="CharStyle30"/>
          <w:spacing w:val="0"/>
        </w:rPr>
        <w:t>зрыи гобы е не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статьи 472 Гражданского кодекса РФ, товар, на кот установлен срок годности, поставщик обязан передать покупателю с таким расчетом, ч он мог быть использован по назначению до истечения срока давности, если инс предусмотрено контрактом.</w:t>
      </w:r>
    </w:p>
    <w:p>
      <w:pPr>
        <w:pStyle w:val="Style29"/>
        <w:framePr w:w="587" w:h="1896" w:wrap="around" w:vAnchor="text" w:hAnchor="margin" w:x="9875" w:y="-41"/>
        <w:widowControl w:val="0"/>
        <w:keepNext w:val="0"/>
        <w:keepLines w:val="0"/>
        <w:shd w:val="clear" w:color="auto" w:fill="auto"/>
        <w:bidi w:val="0"/>
        <w:jc w:val="right"/>
        <w:spacing w:before="0" w:after="240" w:line="269" w:lineRule="exact"/>
        <w:ind w:left="120" w:right="0" w:firstLine="0"/>
      </w:pPr>
      <w:r>
        <w:rPr>
          <w:rStyle w:val="CharStyle52"/>
          <w:spacing w:val="0"/>
        </w:rPr>
        <w:t xml:space="preserve">2000 </w:t>
      </w:r>
      <w:r>
        <w:rPr>
          <w:rStyle w:val="CharStyle30"/>
          <w:spacing w:val="0"/>
        </w:rPr>
        <w:t>,ения ных ва с</w:t>
      </w:r>
    </w:p>
    <w:p>
      <w:pPr>
        <w:pStyle w:val="Style29"/>
        <w:framePr w:w="587" w:h="1896" w:wrap="around" w:vAnchor="text" w:hAnchor="margin" w:x="9875" w:y="-41"/>
        <w:widowControl w:val="0"/>
        <w:keepNext w:val="0"/>
        <w:keepLines w:val="0"/>
        <w:shd w:val="clear" w:color="auto" w:fill="auto"/>
        <w:bidi w:val="0"/>
        <w:jc w:val="right"/>
        <w:spacing w:before="0" w:after="0" w:line="269" w:lineRule="exact"/>
        <w:ind w:left="120" w:right="0" w:firstLine="0"/>
      </w:pPr>
      <w:r>
        <w:rPr>
          <w:rStyle w:val="CharStyle30"/>
          <w:spacing w:val="0"/>
        </w:rPr>
        <w:t>но го зные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приказом Министерства здравоохранения РФ от 7 сентября года № 340 «О введении форм федерального государственного статистического наблюд за закупкой, продажей и запасами жизненно необходимых и важнейших лекарствен средств и фактическими ценами на них», учету подлежат лекарственных средст остаточным сроком годности, выраженном в процентах.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письме Федеральной службы по надзору в сфере здравоохранения и социалт развития от 15 июня 2006 года № 04И-495/06 «О мониторинге цен на лекарстве</w:t>
        <w:br w:type="page"/>
        <w:t>средства в рамках программы дополнительного лекарственного обеспечения», остаточный срок годности также определен в процентах.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Принимая во внимание, что законодательно не установлен запрет на исчисление остаточного срока годности товара (в частности, лекарственных средств) в процентах, в техническом задании аукционной документации электронного аукциона № 0124200000617005528 были установлены требованиях к сроку годности лекарственных препаратов - «остаточный срок годности товара - не менее 60 %».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рассмотрения заявок на участие в электронном аукционе от 27.10.2017 было подано 10 заявок.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приходит к выводу о том, что указание срока годности лекарственных препаратов в процентах не привело к ограничению количества участников закупки, а обусловлено потребностями Заказчика, так как Заказчику не представляется возможным запланировать поступление пациентов, нуждающихся в срочном назначении и приеме указанных лекарственных препаратов.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данном случае установление Заказчиком требования к сроку годности в процентах не ограничивает участников закупки и не противоречит нормам ФЗ «О контрактной системе».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313" w:line="220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451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"Медикал лизинг-консалтинг" необоснованной.</w:t>
      </w:r>
    </w:p>
    <w:p>
      <w:pPr>
        <w:pStyle w:val="Style5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  <w:sectPr>
          <w:type w:val="continuous"/>
          <w:pgSz w:w="16838" w:h="23810"/>
          <w:pgMar w:top="4438" w:left="3438" w:right="3889" w:bottom="4524" w:header="0" w:footer="3" w:gutter="0"/>
          <w:rtlGutter w:val="0"/>
          <w:cols w:space="720"/>
          <w:noEndnote/>
          <w:docGrid w:linePitch="360"/>
        </w:sectPr>
      </w:pPr>
      <w:r>
        <w:rPr>
          <w:rStyle w:val="CharStyle55"/>
          <w:i/>
          <w:iCs/>
        </w:rPr>
        <w:t>Примечание.</w:t>
      </w:r>
      <w:r>
        <w:rPr>
          <w:rStyle w:val="CharStyle56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94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6838" w:h="23810"/>
      <w:pgMar w:top="6921" w:left="3691" w:right="10229" w:bottom="732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8"/>
    </w:rPr>
  </w:style>
  <w:style w:type="character" w:customStyle="1" w:styleId="CharStyle6">
    <w:name w:val="Основной текст (3) Exact"/>
    <w:basedOn w:val="DefaultParagraphFont"/>
    <w:link w:val="Style5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10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12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character" w:customStyle="1" w:styleId="CharStyle13">
    <w:name w:val="Основной текст (6) Exact"/>
    <w:basedOn w:val="CharStyle27"/>
    <w:rPr>
      <w:sz w:val="18"/>
      <w:szCs w:val="18"/>
      <w:spacing w:val="7"/>
    </w:rPr>
  </w:style>
  <w:style w:type="character" w:customStyle="1" w:styleId="CharStyle14">
    <w:name w:val="Основной текст (2) Exact"/>
    <w:basedOn w:val="CharStyle25"/>
    <w:rPr>
      <w:sz w:val="18"/>
      <w:szCs w:val="18"/>
      <w:spacing w:val="8"/>
    </w:rPr>
  </w:style>
  <w:style w:type="character" w:customStyle="1" w:styleId="CharStyle16">
    <w:name w:val="Основной текст (7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7">
    <w:name w:val="Основной текст (7) Exact"/>
    <w:basedOn w:val="CharStyle28"/>
    <w:rPr>
      <w:sz w:val="21"/>
      <w:szCs w:val="21"/>
      <w:spacing w:val="6"/>
    </w:rPr>
  </w:style>
  <w:style w:type="character" w:customStyle="1" w:styleId="CharStyle18">
    <w:name w:val="Основной текст (4) Exact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8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1">
    <w:name w:val="Основной текст (8) Exact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2) Exact"/>
    <w:basedOn w:val="CharStyle25"/>
    <w:rPr>
      <w:u w:val="single"/>
      <w:sz w:val="18"/>
      <w:szCs w:val="18"/>
      <w:spacing w:val="8"/>
    </w:rPr>
  </w:style>
  <w:style w:type="character" w:customStyle="1" w:styleId="CharStyle23">
    <w:name w:val="Основной текст (6) + Полужирный,Интервал 0 pt Exact"/>
    <w:basedOn w:val="CharStyle27"/>
    <w:rPr>
      <w:b/>
      <w:bCs/>
      <w:u w:val="single"/>
      <w:sz w:val="18"/>
      <w:szCs w:val="18"/>
      <w:spacing w:val="8"/>
    </w:rPr>
  </w:style>
  <w:style w:type="character" w:customStyle="1" w:styleId="CharStyle24">
    <w:name w:val="Основной текст (6) + Полужирный,Интервал 0 pt Exact"/>
    <w:basedOn w:val="CharStyle27"/>
    <w:rPr>
      <w:b/>
      <w:bCs/>
      <w:sz w:val="18"/>
      <w:szCs w:val="18"/>
      <w:spacing w:val="8"/>
    </w:rPr>
  </w:style>
  <w:style w:type="character" w:customStyle="1" w:styleId="CharStyle25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6">
    <w:name w:val="Основной текст (2)"/>
    <w:basedOn w:val="CharStyle2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7">
    <w:name w:val="Основной текст (6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8">
    <w:name w:val="Основной текст (7)_"/>
    <w:basedOn w:val="DefaultParagraphFont"/>
    <w:link w:val="Style1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32">
    <w:name w:val="Основной текст (10) Exact"/>
    <w:basedOn w:val="DefaultParagraphFont"/>
    <w:link w:val="Style3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1"/>
    </w:rPr>
  </w:style>
  <w:style w:type="character" w:customStyle="1" w:styleId="CharStyle34">
    <w:name w:val="Основной текст (11) Exact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character" w:customStyle="1" w:styleId="CharStyle36">
    <w:name w:val="Основной текст (12) Exact"/>
    <w:basedOn w:val="DefaultParagraphFont"/>
    <w:link w:val="Style35"/>
    <w:rPr>
      <w:b/>
      <w:bCs/>
      <w:i w:val="0"/>
      <w:iCs w:val="0"/>
      <w:u w:val="none"/>
      <w:strike w:val="0"/>
      <w:smallCaps w:val="0"/>
      <w:sz w:val="20"/>
      <w:szCs w:val="20"/>
      <w:rFonts w:ascii="Century Gothic" w:eastAsia="Century Gothic" w:hAnsi="Century Gothic" w:cs="Century Gothic"/>
      <w:spacing w:val="6"/>
    </w:rPr>
  </w:style>
  <w:style w:type="character" w:customStyle="1" w:styleId="CharStyle37">
    <w:name w:val="Основной текст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8">
    <w:name w:val="Основной текст (7)"/>
    <w:basedOn w:val="CharStyle2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0">
    <w:name w:val="Заголовок №2_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1">
    <w:name w:val="Основной текст + Полужирный"/>
    <w:basedOn w:val="CharStyle3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2">
    <w:name w:val="Основной текст + 9 pt,Полужирный"/>
    <w:basedOn w:val="CharStyle37"/>
    <w:rPr>
      <w:lang w:val="en-US" w:eastAsia="en-US" w:bidi="en-US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43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4">
    <w:name w:val="Основной текст (5) + Полужирный"/>
    <w:basedOn w:val="CharStyle4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6">
    <w:name w:val="Заголовок №1_"/>
    <w:basedOn w:val="DefaultParagraphFont"/>
    <w:link w:val="Style45"/>
    <w:rPr>
      <w:b w:val="0"/>
      <w:bCs w:val="0"/>
      <w:i/>
      <w:iCs/>
      <w:u w:val="none"/>
      <w:strike w:val="0"/>
      <w:smallCaps w:val="0"/>
      <w:sz w:val="15"/>
      <w:szCs w:val="15"/>
      <w:rFonts w:ascii="Tahoma" w:eastAsia="Tahoma" w:hAnsi="Tahoma" w:cs="Tahoma"/>
      <w:spacing w:val="-30"/>
    </w:rPr>
  </w:style>
  <w:style w:type="character" w:customStyle="1" w:styleId="CharStyle48">
    <w:name w:val="Основной текст (9)_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49">
    <w:name w:val="Основной текст (9)"/>
    <w:basedOn w:val="CharStyle4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0">
    <w:name w:val="Основной текст + 9,5 pt"/>
    <w:basedOn w:val="CharStyle3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51">
    <w:name w:val="Основной текст + 9,5 pt,Курсив"/>
    <w:basedOn w:val="CharStyle37"/>
    <w:rPr>
      <w:lang w:val="en-US" w:eastAsia="en-US" w:bidi="en-US"/>
      <w:i/>
      <w:iCs/>
      <w:sz w:val="19"/>
      <w:szCs w:val="19"/>
      <w:w w:val="100"/>
      <w:spacing w:val="0"/>
      <w:color w:val="000000"/>
      <w:position w:val="0"/>
    </w:rPr>
  </w:style>
  <w:style w:type="character" w:customStyle="1" w:styleId="CharStyle52">
    <w:name w:val="Основной текст + Arial Narrow,11 pt,Интервал 0 pt Exact"/>
    <w:basedOn w:val="CharStyle37"/>
    <w:rPr>
      <w:lang w:val="ru-RU" w:eastAsia="ru-RU" w:bidi="ru-RU"/>
      <w:rFonts w:ascii="Arial Narrow" w:eastAsia="Arial Narrow" w:hAnsi="Arial Narrow" w:cs="Arial Narrow"/>
      <w:w w:val="100"/>
      <w:spacing w:val="9"/>
      <w:color w:val="000000"/>
      <w:position w:val="0"/>
    </w:rPr>
  </w:style>
  <w:style w:type="character" w:customStyle="1" w:styleId="CharStyle54">
    <w:name w:val="Основной текст (13)_"/>
    <w:basedOn w:val="DefaultParagraphFont"/>
    <w:link w:val="Style53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5">
    <w:name w:val="Основной текст (13) + Полужирный"/>
    <w:basedOn w:val="CharStyle5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56">
    <w:name w:val="Основной текст (13) + Полужирный"/>
    <w:basedOn w:val="CharStyle54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2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paragraph" w:customStyle="1" w:styleId="Style9">
    <w:name w:val="Основной текст (5)"/>
    <w:basedOn w:val="Normal"/>
    <w:link w:val="CharStyle4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6)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5">
    <w:name w:val="Основной текст (7)"/>
    <w:basedOn w:val="Normal"/>
    <w:link w:val="CharStyle28"/>
    <w:pPr>
      <w:widowControl w:val="0"/>
      <w:shd w:val="clear" w:color="auto" w:fill="FFFFFF"/>
      <w:jc w:val="center"/>
      <w:spacing w:before="120" w:line="302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9">
    <w:name w:val="Основной текст (8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9">
    <w:name w:val="Основной текст"/>
    <w:basedOn w:val="Normal"/>
    <w:link w:val="CharStyle37"/>
    <w:pPr>
      <w:widowControl w:val="0"/>
      <w:shd w:val="clear" w:color="auto" w:fill="FFFFFF"/>
      <w:jc w:val="both"/>
      <w:spacing w:before="180" w:line="28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1">
    <w:name w:val="Основной текст (10)"/>
    <w:basedOn w:val="Normal"/>
    <w:link w:val="CharStyle3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1"/>
    </w:rPr>
  </w:style>
  <w:style w:type="paragraph" w:customStyle="1" w:styleId="Style33">
    <w:name w:val="Основной текст (11)"/>
    <w:basedOn w:val="Normal"/>
    <w:link w:val="CharStyle34"/>
    <w:pPr>
      <w:widowControl w:val="0"/>
      <w:shd w:val="clear" w:color="auto" w:fill="FFFFFF"/>
      <w:jc w:val="right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paragraph" w:customStyle="1" w:styleId="Style35">
    <w:name w:val="Основной текст (12)"/>
    <w:basedOn w:val="Normal"/>
    <w:link w:val="CharStyle3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Century Gothic" w:eastAsia="Century Gothic" w:hAnsi="Century Gothic" w:cs="Century Gothic"/>
      <w:spacing w:val="6"/>
    </w:rPr>
  </w:style>
  <w:style w:type="paragraph" w:customStyle="1" w:styleId="Style39">
    <w:name w:val="Заголовок №2"/>
    <w:basedOn w:val="Normal"/>
    <w:link w:val="CharStyle40"/>
    <w:pPr>
      <w:widowControl w:val="0"/>
      <w:shd w:val="clear" w:color="auto" w:fill="FFFFFF"/>
      <w:outlineLvl w:val="1"/>
      <w:spacing w:before="180" w:after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5">
    <w:name w:val="Заголовок №1"/>
    <w:basedOn w:val="Normal"/>
    <w:link w:val="CharStyle46"/>
    <w:pPr>
      <w:widowControl w:val="0"/>
      <w:shd w:val="clear" w:color="auto" w:fill="FFFFFF"/>
      <w:jc w:val="right"/>
      <w:outlineLvl w:val="0"/>
      <w:spacing w:after="600" w:line="0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ahoma" w:eastAsia="Tahoma" w:hAnsi="Tahoma" w:cs="Tahoma"/>
      <w:spacing w:val="-30"/>
    </w:rPr>
  </w:style>
  <w:style w:type="paragraph" w:customStyle="1" w:styleId="Style47">
    <w:name w:val="Основной текст (9)"/>
    <w:basedOn w:val="Normal"/>
    <w:link w:val="CharStyle48"/>
    <w:pPr>
      <w:widowControl w:val="0"/>
      <w:shd w:val="clear" w:color="auto" w:fill="FFFFFF"/>
      <w:spacing w:before="72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53">
    <w:name w:val="Основной текст (13)"/>
    <w:basedOn w:val="Normal"/>
    <w:link w:val="CharStyle54"/>
    <w:pPr>
      <w:widowControl w:val="0"/>
      <w:shd w:val="clear" w:color="auto" w:fill="FFFFFF"/>
      <w:jc w:val="both"/>
      <w:spacing w:before="540" w:line="23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