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33" w:y="1247"/>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33" w:y="124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33" w:y="124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835"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560" w:firstLine="0"/>
      </w:pPr>
      <w:r>
        <w:rPr>
          <w:lang w:val="ru-RU" w:eastAsia="ru-RU" w:bidi="ru-RU"/>
          <w:w w:val="100"/>
          <w:spacing w:val="0"/>
          <w:color w:val="000000"/>
          <w:position w:val="0"/>
        </w:rPr>
        <w:t>Государственное бюджетное учреждение здравоохранения Республики Крым «Клиническая психиатрическая больница №5»</w:t>
      </w:r>
    </w:p>
    <w:p>
      <w:pPr>
        <w:pStyle w:val="Style7"/>
        <w:framePr w:w="3784" w:h="806" w:wrap="around" w:vAnchor="text" w:hAnchor="margin" w:x="-81" w:y="116"/>
        <w:widowControl w:val="0"/>
        <w:keepNext w:val="0"/>
        <w:keepLines w:val="0"/>
        <w:shd w:val="clear" w:color="auto" w:fill="auto"/>
        <w:bidi w:val="0"/>
        <w:jc w:val="left"/>
        <w:spacing w:before="0" w:after="257" w:line="240" w:lineRule="exact"/>
        <w:ind w:left="20" w:right="0" w:firstLine="0"/>
      </w:pPr>
      <w:r>
        <w:rPr>
          <w:rStyle w:val="CharStyle8"/>
          <w:spacing w:val="0"/>
        </w:rPr>
        <w:t>10.11.2017 №06/12899</w:t>
      </w:r>
    </w:p>
    <w:p>
      <w:pPr>
        <w:pStyle w:val="Style7"/>
        <w:framePr w:w="3784" w:h="806" w:wrap="around" w:vAnchor="text" w:hAnchor="margin" w:x="-81" w:y="116"/>
        <w:widowControl w:val="0"/>
        <w:keepNext w:val="0"/>
        <w:keepLines w:val="0"/>
        <w:shd w:val="clear" w:color="auto" w:fill="auto"/>
        <w:bidi w:val="0"/>
        <w:jc w:val="left"/>
        <w:spacing w:before="0" w:after="0" w:line="240" w:lineRule="exact"/>
        <w:ind w:left="20" w:right="0" w:firstLine="0"/>
      </w:pPr>
      <w:r>
        <w:rPr>
          <w:rStyle w:val="CharStyle8"/>
          <w:spacing w:val="0"/>
        </w:rPr>
        <w:t>На № ГЗТУ/4112 от 03.11.2017</w:t>
      </w:r>
    </w:p>
    <w:p>
      <w:pPr>
        <w:pStyle w:val="Style7"/>
        <w:framePr w:h="245" w:wrap="around" w:vAnchor="text" w:hAnchor="margin" w:x="-81" w:y="1239"/>
        <w:widowControl w:val="0"/>
        <w:keepNext w:val="0"/>
        <w:keepLines w:val="0"/>
        <w:shd w:val="clear" w:color="auto" w:fill="auto"/>
        <w:bidi w:val="0"/>
        <w:jc w:val="left"/>
        <w:spacing w:before="0" w:after="0" w:line="240" w:lineRule="exact"/>
        <w:ind w:left="0" w:right="0" w:firstLine="0"/>
      </w:pPr>
      <w:r>
        <w:rPr>
          <w:rStyle w:val="CharStyle8"/>
          <w:spacing w:val="0"/>
        </w:rPr>
        <w:t>На № б/н от 01.11.2017</w:t>
      </w:r>
    </w:p>
    <w:p>
      <w:pPr>
        <w:pStyle w:val="Style7"/>
        <w:widowControl w:val="0"/>
        <w:keepNext w:val="0"/>
        <w:keepLines w:val="0"/>
        <w:shd w:val="clear" w:color="auto" w:fill="auto"/>
        <w:bidi w:val="0"/>
        <w:jc w:val="left"/>
        <w:spacing w:before="0" w:after="240"/>
        <w:ind w:left="1280" w:right="800" w:firstLine="0"/>
      </w:pPr>
      <w:r>
        <w:rPr>
          <w:lang w:val="ru-RU" w:eastAsia="ru-RU" w:bidi="ru-RU"/>
          <w:w w:val="100"/>
          <w:spacing w:val="0"/>
          <w:color w:val="000000"/>
          <w:position w:val="0"/>
        </w:rPr>
        <w:t>297534, Республика Крым, Симферопольский р-н., с. Строгоновка, ул. Лечебная 1А</w:t>
      </w:r>
    </w:p>
    <w:p>
      <w:pPr>
        <w:pStyle w:val="Style7"/>
        <w:numPr>
          <w:ilvl w:val="0"/>
          <w:numId w:val="1"/>
        </w:numPr>
        <w:widowControl w:val="0"/>
        <w:keepNext w:val="0"/>
        <w:keepLines w:val="0"/>
        <w:shd w:val="clear" w:color="auto" w:fill="auto"/>
        <w:bidi w:val="0"/>
        <w:jc w:val="left"/>
        <w:spacing w:before="0" w:after="0"/>
        <w:ind w:left="220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80" w:right="80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295022, Республика Крым,</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240"/>
        <w:ind w:left="4980" w:right="0" w:firstLine="0"/>
      </w:pPr>
      <w:r>
        <w:rPr>
          <w:lang w:val="ru-RU" w:eastAsia="ru-RU" w:bidi="ru-RU"/>
          <w:w w:val="100"/>
          <w:spacing w:val="0"/>
          <w:color w:val="000000"/>
          <w:position w:val="0"/>
        </w:rPr>
        <w:t>ул. Кечкеметская, д. 198 (1 этаж)</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«РостовОблСтрой»</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344114, Ростов-на-Дону, пр. Королева,</w:t>
      </w:r>
    </w:p>
    <w:p>
      <w:pPr>
        <w:pStyle w:val="Style7"/>
        <w:widowControl w:val="0"/>
        <w:keepNext w:val="0"/>
        <w:keepLines w:val="0"/>
        <w:shd w:val="clear" w:color="auto" w:fill="auto"/>
        <w:bidi w:val="0"/>
        <w:jc w:val="left"/>
        <w:spacing w:before="0" w:after="244"/>
        <w:ind w:left="4980" w:right="0" w:firstLine="0"/>
      </w:pPr>
      <w:r>
        <w:rPr>
          <w:lang w:val="ru-RU" w:eastAsia="ru-RU" w:bidi="ru-RU"/>
          <w:w w:val="100"/>
          <w:spacing w:val="0"/>
          <w:color w:val="000000"/>
          <w:position w:val="0"/>
        </w:rPr>
        <w:t>д. 29, корп. В, Литер А, офис/этаж 1В/2</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4980" w:right="800" w:firstLine="0"/>
      </w:pPr>
      <w:r>
        <w:rPr>
          <w:lang w:val="ru-RU" w:eastAsia="ru-RU" w:bidi="ru-RU"/>
          <w:w w:val="100"/>
          <w:spacing w:val="0"/>
          <w:color w:val="000000"/>
          <w:position w:val="0"/>
        </w:rPr>
        <w:t>АО «Единая электронная торговая площадка» АО «ЕЭТП»</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ул. Кожевническая, д. 14, стр. 5</w:t>
      </w:r>
    </w:p>
    <w:p>
      <w:pPr>
        <w:pStyle w:val="Style10"/>
        <w:widowControl w:val="0"/>
        <w:keepNext w:val="0"/>
        <w:keepLines w:val="0"/>
        <w:shd w:val="clear" w:color="auto" w:fill="auto"/>
        <w:bidi w:val="0"/>
        <w:spacing w:before="0" w:after="289"/>
        <w:ind w:left="240" w:right="0" w:firstLine="0"/>
      </w:pPr>
      <w:r>
        <w:rPr>
          <w:lang w:val="ru-RU" w:eastAsia="ru-RU" w:bidi="ru-RU"/>
          <w:w w:val="100"/>
          <w:spacing w:val="0"/>
          <w:color w:val="000000"/>
          <w:position w:val="0"/>
        </w:rPr>
        <w:t>Решение по делу №06/4235-17 о нарушении законодательства Российской Федерации о контрактной системе в сфере закупок</w:t>
      </w:r>
    </w:p>
    <w:p>
      <w:pPr>
        <w:pStyle w:val="Style7"/>
        <w:tabs>
          <w:tab w:leader="none" w:pos="7994" w:val="left"/>
        </w:tabs>
        <w:widowControl w:val="0"/>
        <w:keepNext w:val="0"/>
        <w:keepLines w:val="0"/>
        <w:shd w:val="clear" w:color="auto" w:fill="auto"/>
        <w:bidi w:val="0"/>
        <w:jc w:val="both"/>
        <w:spacing w:before="0" w:after="133" w:line="260" w:lineRule="exact"/>
        <w:ind w:left="300" w:right="0" w:firstLine="0"/>
      </w:pPr>
      <w:r>
        <w:rPr>
          <w:lang w:val="ru-RU" w:eastAsia="ru-RU" w:bidi="ru-RU"/>
          <w:w w:val="100"/>
          <w:spacing w:val="0"/>
          <w:color w:val="000000"/>
          <w:position w:val="0"/>
        </w:rPr>
        <w:t>10.11.2017</w:t>
        <w:tab/>
        <w:t>г. Симферополь</w:t>
      </w:r>
    </w:p>
    <w:p>
      <w:pPr>
        <w:pStyle w:val="Style7"/>
        <w:widowControl w:val="0"/>
        <w:keepNext w:val="0"/>
        <w:keepLines w:val="0"/>
        <w:shd w:val="clear" w:color="auto" w:fill="auto"/>
        <w:bidi w:val="0"/>
        <w:jc w:val="both"/>
        <w:spacing w:before="0" w:after="0"/>
        <w:ind w:left="20" w:right="26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20" w:right="26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r>
        <w:br w:type="page"/>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участии представителя интересов Уполномоченного органа И. В. Хованского (по доверенности),</w:t>
      </w:r>
    </w:p>
    <w:p>
      <w:pPr>
        <w:pStyle w:val="Style7"/>
        <w:tabs>
          <w:tab w:leader="none" w:pos="10215"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представители Заказчика, Заявителя на заседание Комиссии не явились, — рассмотрев жалобу Заявителя от 01.11.2017 (вх. №4813/09 от 07.11.2017) на действия Единой комиссии Уполномоченного органа при проведении электронного аукциона « «Капитальный ремонт перехода между административным зданием и лечебными корпусами №1,2,3,4 и пищеблоком психиатрической больницы по ул. Лечебная, 1А, с. Строгоновка, Симферопольского района, Республики Крым»» (номер извещения 0175200000417000419)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№06/12678,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представитель Уполномоченного органа с доводами жалобы не согласился и сообщил, что при проведении Аукциона Уполномоченный орган, Единая комиссия Уполномоченного органа действовали в соответствии с положениями документации об Аукциона и требованиями Закона о контрактной системе.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 .</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18.09.2017, изменения - 05.10.2017;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- 17 895 476,00 рублей;</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23.10.2017 08:00, дата окончания срока рассмотрения первых частей заявок участников: 30.10.2017, дата проведения Аукциона: 02.11.2017;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подана 10 заявок, из них по результатам рассмотрения первых частей заявок участников 10 заявок признаны не соответствующими документации об Аукционе и Закону о контрактной системе - заявка под номером «4» (Заявитель);</w:t>
      </w:r>
    </w:p>
    <w:p>
      <w:pPr>
        <w:pStyle w:val="Style7"/>
        <w:numPr>
          <w:ilvl w:val="0"/>
          <w:numId w:val="3"/>
        </w:numPr>
        <w:widowControl w:val="0"/>
        <w:keepNext w:val="0"/>
        <w:keepLines w:val="0"/>
        <w:shd w:val="clear" w:color="auto" w:fill="auto"/>
        <w:bidi w:val="0"/>
        <w:jc w:val="both"/>
        <w:spacing w:before="0" w:after="180"/>
        <w:ind w:left="20" w:right="0" w:firstLine="860"/>
      </w:pPr>
      <w:r>
        <w:rPr>
          <w:lang w:val="ru-RU" w:eastAsia="ru-RU" w:bidi="ru-RU"/>
          <w:w w:val="100"/>
          <w:spacing w:val="0"/>
          <w:color w:val="000000"/>
          <w:position w:val="0"/>
        </w:rPr>
        <w:t xml:space="preserve"> Аукцион признан несостоявшимся.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w:t>
      </w:r>
    </w:p>
    <w:p>
      <w:pPr>
        <w:pStyle w:val="Style7"/>
        <w:widowControl w:val="0"/>
        <w:keepNext w:val="0"/>
        <w:keepLines w:val="0"/>
        <w:shd w:val="clear" w:color="auto" w:fill="auto"/>
        <w:bidi w:val="0"/>
        <w:jc w:val="both"/>
        <w:spacing w:before="0" w:after="0"/>
        <w:ind w:left="20" w:right="180" w:firstLine="0"/>
      </w:pPr>
      <w:r>
        <w:rPr>
          <w:lang w:val="ru-RU" w:eastAsia="ru-RU" w:bidi="ru-RU"/>
          <w:w w:val="100"/>
          <w:spacing w:val="0"/>
          <w:color w:val="000000"/>
          <w:position w:val="0"/>
        </w:rPr>
        <w:t>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5"/>
        </w:numPr>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5"/>
        </w:numPr>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13"/>
        <w:framePr w:w="1033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30.10.2017 № 0175200000417000419-1 закупки с порядковым номером </w:t>
      </w:r>
      <w:r>
        <w:rPr>
          <w:rStyle w:val="CharStyle15"/>
        </w:rPr>
        <w:t xml:space="preserve">заявки «4» (Заявитель) отказано в допуске к участию в Аукционе по причине: </w:t>
      </w:r>
      <w:r>
        <w:rPr>
          <w:rStyle w:val="CharStyle16"/>
        </w:rPr>
        <w:t>«...</w:t>
      </w:r>
    </w:p>
    <w:tbl>
      <w:tblPr>
        <w:tblOverlap w:val="never"/>
        <w:tblLayout w:type="fixed"/>
        <w:jc w:val="center"/>
      </w:tblPr>
      <w:tblGrid>
        <w:gridCol w:w="5222"/>
        <w:gridCol w:w="5112"/>
      </w:tblGrid>
      <w:tr>
        <w:trPr>
          <w:trHeight w:val="288" w:hRule="exact"/>
        </w:trPr>
        <w:tc>
          <w:tcPr>
            <w:shd w:val="clear" w:color="auto" w:fill="FFFFFF"/>
            <w:tcBorders>
              <w:lef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20"/>
              </w:rPr>
              <w:t>Порядковый номер заявки</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Заявка № 4</w:t>
            </w:r>
          </w:p>
        </w:tc>
      </w:tr>
      <w:tr>
        <w:trPr>
          <w:trHeight w:val="288" w:hRule="exact"/>
        </w:trPr>
        <w:tc>
          <w:tcPr>
            <w:shd w:val="clear" w:color="auto" w:fill="FFFFFF"/>
            <w:tcBorders>
              <w:lef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20"/>
              </w:rPr>
              <w:t>Статус допуска участника</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1"/>
              </w:rPr>
              <w:t>Отказ в допуске</w:t>
            </w:r>
          </w:p>
        </w:tc>
      </w:tr>
      <w:tr>
        <w:trPr>
          <w:trHeight w:val="288" w:hRule="exact"/>
        </w:trPr>
        <w:tc>
          <w:tcPr>
            <w:shd w:val="clear" w:color="auto" w:fill="FFFFFF"/>
            <w:gridSpan w:val="2"/>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20"/>
              </w:rPr>
              <w:t>Обоснование принятого решения</w:t>
            </w:r>
          </w:p>
        </w:tc>
      </w:tr>
      <w:tr>
        <w:trPr>
          <w:trHeight w:val="326" w:hRule="exact"/>
        </w:trPr>
        <w:tc>
          <w:tcPr>
            <w:shd w:val="clear" w:color="auto" w:fill="FFFFFF"/>
            <w:tcBorders>
              <w:left w:val="single" w:sz="4"/>
              <w:top w:val="single" w:sz="4"/>
            </w:tcBorders>
            <w:vAlign w:val="top"/>
          </w:tcPr>
          <w:p>
            <w:pPr>
              <w:pStyle w:val="Style7"/>
              <w:framePr w:w="10334" w:wrap="notBeside" w:vAnchor="text" w:hAnchor="text" w:xAlign="center" w:y="1"/>
              <w:widowControl w:val="0"/>
              <w:keepNext w:val="0"/>
              <w:keepLines w:val="0"/>
              <w:shd w:val="clear" w:color="auto" w:fill="auto"/>
              <w:bidi w:val="0"/>
              <w:jc w:val="right"/>
              <w:spacing w:before="0" w:after="0" w:line="220" w:lineRule="exact"/>
              <w:ind w:left="0" w:right="40" w:firstLine="0"/>
            </w:pPr>
            <w:r>
              <w:rPr>
                <w:rStyle w:val="CharStyle21"/>
              </w:rPr>
              <w:t>В соответствии с п.2 ч.4 ст.67 Закона 44-ФЗ,</w:t>
            </w:r>
          </w:p>
        </w:tc>
        <w:tc>
          <w:tcPr>
            <w:shd w:val="clear" w:color="auto" w:fill="FFFFFF"/>
            <w:tcBorders>
              <w:right w:val="single" w:sz="4"/>
              <w:top w:val="single" w:sz="4"/>
            </w:tcBorders>
            <w:vAlign w:val="top"/>
          </w:tcPr>
          <w:p>
            <w:pPr>
              <w:pStyle w:val="Style7"/>
              <w:framePr w:w="1033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1"/>
              </w:rPr>
              <w:t>а именно: несоответствие в первой части заявки</w:t>
            </w:r>
          </w:p>
        </w:tc>
      </w:tr>
    </w:tbl>
    <w:p>
      <w:pPr>
        <w:pStyle w:val="Style17"/>
        <w:framePr w:w="1033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участника информации, предусмотренной п.п. б) п.3 ч.3 ст.66 Закона №44-ФЗ, ч.1 раздела ТТ.</w:t>
      </w:r>
      <w:r>
        <w:rPr>
          <w:rStyle w:val="CharStyle19"/>
        </w:rPr>
        <w:t>ТТТ</w:t>
      </w:r>
      <w:r>
        <w:rPr>
          <w:lang w:val="ru-RU" w:eastAsia="ru-RU" w:bidi="ru-RU"/>
          <w:w w:val="100"/>
          <w:spacing w:val="0"/>
          <w:color w:val="000000"/>
          <w:position w:val="0"/>
        </w:rPr>
        <w:t>. документации об электронном аукционе, а именно:</w:t>
      </w:r>
    </w:p>
    <w:p>
      <w:pPr>
        <w:pStyle w:val="Style17"/>
        <w:framePr w:w="1033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Согласно п. 4 раздела VI документации об электронном аукционе: чтение совместного употребления символов, знаков, слов: Если значения или диапазоны значений параметра указаны </w:t>
      </w:r>
      <w:r>
        <w:rPr>
          <w:rStyle w:val="CharStyle19"/>
        </w:rPr>
        <w:t>одновременно с использованием символов «точка с запятой», «запятая», - участнику закупки</w:t>
      </w:r>
    </w:p>
    <w:p>
      <w:pPr>
        <w:widowControl w:val="0"/>
        <w:rPr>
          <w:sz w:val="2"/>
          <w:szCs w:val="2"/>
        </w:rPr>
      </w:pPr>
    </w:p>
    <w:p>
      <w:pPr>
        <w:pStyle w:val="Style22"/>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 xml:space="preserve">необходимо представить в заявке </w:t>
      </w:r>
      <w:r>
        <w:rPr>
          <w:rStyle w:val="CharStyle24"/>
        </w:rPr>
        <w:t>значения или диапазоны значений, разделенных символом «точка</w:t>
      </w:r>
      <w:r>
        <w:rPr>
          <w:lang w:val="ru-RU" w:eastAsia="ru-RU" w:bidi="ru-RU"/>
          <w:w w:val="100"/>
          <w:spacing w:val="0"/>
          <w:color w:val="000000"/>
          <w:position w:val="0"/>
        </w:rPr>
        <w:t xml:space="preserve"> </w:t>
      </w:r>
      <w:r>
        <w:rPr>
          <w:rStyle w:val="CharStyle24"/>
        </w:rPr>
        <w:t>с запятой»,</w:t>
      </w:r>
      <w:r>
        <w:rPr>
          <w:lang w:val="ru-RU" w:eastAsia="ru-RU" w:bidi="ru-RU"/>
          <w:w w:val="100"/>
          <w:spacing w:val="0"/>
          <w:color w:val="000000"/>
          <w:position w:val="0"/>
        </w:rPr>
        <w:t xml:space="preserve"> и следует руководствоваться правилом, что символ «;» действует между двумя группами значений, разделенными этим знаком (например, требование А, Б; В, Д, участник закупки должен предоставить группу значений (А и Б) или группу (В и Д)).</w:t>
      </w:r>
    </w:p>
    <w:p>
      <w:pPr>
        <w:pStyle w:val="Style22"/>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В свою очередь, участником электронного аукциона по номенклатурной позиции №67 предложен показатель «Марка» со значением «</w:t>
      </w:r>
      <w:r>
        <w:rPr>
          <w:rStyle w:val="CharStyle25"/>
        </w:rPr>
        <w:t>МБК-Г-55А</w:t>
      </w:r>
      <w:r>
        <w:rPr>
          <w:lang w:val="ru-RU" w:eastAsia="ru-RU" w:bidi="ru-RU"/>
          <w:w w:val="100"/>
          <w:spacing w:val="0"/>
          <w:color w:val="000000"/>
          <w:position w:val="0"/>
        </w:rPr>
        <w:t>» (цитата из заявки), вместо требуемого заказчику «</w:t>
      </w:r>
      <w:r>
        <w:rPr>
          <w:rStyle w:val="CharStyle24"/>
        </w:rPr>
        <w:t>МБК-Г-55А, МБК-Г-75; МБК-Г-75А, МБК-Г-55</w:t>
      </w:r>
      <w:r>
        <w:rPr>
          <w:lang w:val="ru-RU" w:eastAsia="ru-RU" w:bidi="ru-RU"/>
          <w:w w:val="100"/>
          <w:spacing w:val="0"/>
          <w:color w:val="000000"/>
          <w:position w:val="0"/>
        </w:rPr>
        <w:t>».</w:t>
      </w:r>
    </w:p>
    <w:p>
      <w:pPr>
        <w:pStyle w:val="Style22"/>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Таким образом, участником предложен товар, используемый при выполнении работ не</w:t>
      </w:r>
    </w:p>
    <w:p>
      <w:pPr>
        <w:pStyle w:val="Style22"/>
        <w:tabs>
          <w:tab w:leader="underscore" w:pos="10326" w:val="left"/>
        </w:tabs>
        <w:widowControl w:val="0"/>
        <w:keepNext w:val="0"/>
        <w:keepLines w:val="0"/>
        <w:shd w:val="clear" w:color="auto" w:fill="auto"/>
        <w:bidi w:val="0"/>
        <w:spacing w:before="0" w:after="0"/>
        <w:ind w:left="40" w:right="0" w:firstLine="0"/>
      </w:pPr>
      <w:r>
        <w:rPr>
          <w:rStyle w:val="CharStyle24"/>
        </w:rPr>
        <w:t>соответствующий требованиям документации об электронном аукционе.</w:t>
      </w:r>
      <w:r>
        <w:rPr>
          <w:lang w:val="ru-RU" w:eastAsia="ru-RU" w:bidi="ru-RU"/>
          <w:w w:val="100"/>
          <w:spacing w:val="0"/>
          <w:color w:val="000000"/>
          <w:position w:val="0"/>
        </w:rPr>
        <w:tab/>
      </w:r>
    </w:p>
    <w:p>
      <w:pPr>
        <w:pStyle w:val="Style7"/>
        <w:widowControl w:val="0"/>
        <w:keepNext w:val="0"/>
        <w:keepLines w:val="0"/>
        <w:shd w:val="clear" w:color="auto" w:fill="auto"/>
        <w:bidi w:val="0"/>
        <w:jc w:val="both"/>
        <w:spacing w:before="0" w:after="0" w:line="260" w:lineRule="exact"/>
        <w:ind w:left="40" w:right="0" w:firstLine="840"/>
      </w:pPr>
      <w:r>
        <w:rPr>
          <w:rStyle w:val="CharStyle26"/>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260" w:lineRule="exact"/>
        <w:ind w:left="40" w:right="0" w:firstLine="840"/>
      </w:pPr>
      <w:r>
        <w:rPr>
          <w:lang w:val="ru-RU" w:eastAsia="ru-RU" w:bidi="ru-RU"/>
          <w:w w:val="100"/>
          <w:spacing w:val="0"/>
          <w:color w:val="000000"/>
          <w:position w:val="0"/>
        </w:rPr>
        <w:t>Заказчиком в Техническом заданию документации об Аукционе установлено:</w:t>
      </w:r>
    </w:p>
    <w:p>
      <w:pPr>
        <w:pStyle w:val="Style7"/>
        <w:widowControl w:val="0"/>
        <w:keepNext w:val="0"/>
        <w:keepLines w:val="0"/>
        <w:shd w:val="clear" w:color="auto" w:fill="auto"/>
        <w:bidi w:val="0"/>
        <w:jc w:val="both"/>
        <w:spacing w:before="0" w:after="8" w:line="259" w:lineRule="exact"/>
        <w:ind w:left="40" w:right="0" w:firstLine="0"/>
      </w:pPr>
      <w:r>
        <w:rPr>
          <w:lang w:val="ru-RU" w:eastAsia="ru-RU" w:bidi="ru-RU"/>
          <w:w w:val="100"/>
          <w:spacing w:val="0"/>
          <w:color w:val="000000"/>
          <w:position w:val="0"/>
        </w:rPr>
        <w:t>«.</w:t>
      </w:r>
    </w:p>
    <w:p>
      <w:pPr>
        <w:pStyle w:val="Style27"/>
        <w:framePr w:w="10368" w:wrap="notBeside" w:vAnchor="text" w:hAnchor="text" w:xAlign="center" w:y="1"/>
        <w:widowControl w:val="0"/>
        <w:keepNext w:val="0"/>
        <w:keepLines w:val="0"/>
        <w:shd w:val="clear" w:color="auto" w:fill="auto"/>
        <w:bidi w:val="0"/>
        <w:jc w:val="left"/>
        <w:spacing w:before="0" w:after="0"/>
        <w:ind w:left="0" w:right="0" w:firstLine="0"/>
      </w:pPr>
      <w:r>
        <w:rPr>
          <w:rStyle w:val="CharStyle29"/>
          <w:b/>
          <w:bCs/>
        </w:rPr>
        <w:t xml:space="preserve">Приложение № 4 к разделу IV «Описание объекта закупки (Техническое задание)» </w:t>
      </w:r>
      <w:r>
        <w:rPr>
          <w:lang w:val="ru-RU" w:eastAsia="ru-RU" w:bidi="ru-RU"/>
          <w:w w:val="100"/>
          <w:spacing w:val="0"/>
          <w:color w:val="000000"/>
          <w:position w:val="0"/>
        </w:rPr>
        <w:t>ТРЕБОВ</w:t>
      </w:r>
      <w:r>
        <w:rPr>
          <w:rStyle w:val="CharStyle30"/>
          <w:b/>
          <w:bCs/>
        </w:rPr>
        <w:t>АНИЯ</w:t>
      </w:r>
      <w:r>
        <w:rPr>
          <w:lang w:val="ru-RU" w:eastAsia="ru-RU" w:bidi="ru-RU"/>
          <w:w w:val="100"/>
          <w:spacing w:val="0"/>
          <w:color w:val="000000"/>
          <w:position w:val="0"/>
        </w:rPr>
        <w:t xml:space="preserve"> УСТАНОВЛЕННЫЕ К ТОВАРАМ, ИСПОЛЬЗУЕМЫМ ПРИ ВЫПОЛНЕНИИ РАБОТ, КОНКРЕТНЫЕ ПОКАЗАТЕЛИ, ЗНАЧЕНИЯ, ХАРАКТЕРИСТИКИ</w:t>
      </w:r>
    </w:p>
    <w:tbl>
      <w:tblPr>
        <w:tblOverlap w:val="never"/>
        <w:tblLayout w:type="fixed"/>
        <w:jc w:val="center"/>
      </w:tblPr>
      <w:tblGrid>
        <w:gridCol w:w="576"/>
        <w:gridCol w:w="1699"/>
        <w:gridCol w:w="1824"/>
        <w:gridCol w:w="2290"/>
        <w:gridCol w:w="1982"/>
        <w:gridCol w:w="1997"/>
      </w:tblGrid>
      <w:tr>
        <w:trPr>
          <w:trHeight w:val="336"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142" w:hRule="exact"/>
        </w:trPr>
        <w:tc>
          <w:tcPr>
            <w:shd w:val="clear" w:color="auto" w:fill="FFFFFF"/>
            <w:vMerge w:val="restart"/>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1"/>
              </w:rPr>
              <w:t>67.</w:t>
            </w:r>
          </w:p>
        </w:tc>
        <w:tc>
          <w:tcPr>
            <w:shd w:val="clear" w:color="auto" w:fill="FFFFFF"/>
            <w:tcBorders>
              <w:left w:val="single" w:sz="4"/>
              <w:top w:val="single" w:sz="4"/>
            </w:tcBorders>
            <w:vAlign w:val="center"/>
          </w:tcPr>
          <w:p>
            <w:pPr>
              <w:pStyle w:val="Style7"/>
              <w:framePr w:w="10368"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1"/>
              </w:rPr>
              <w:t>Мастика битумная кровельная горячая ГОСТ 2889-80</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1"/>
              </w:rPr>
              <w:t>Теплостойкость в течение 5 ч, минимальное значение</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1"/>
              </w:rPr>
              <w:t>не должно быть менее 55</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Значение,</w:t>
            </w:r>
          </w:p>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предлагаемое</w:t>
            </w:r>
          </w:p>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участником</w:t>
            </w:r>
          </w:p>
        </w:tc>
        <w:tc>
          <w:tcPr>
            <w:shd w:val="clear" w:color="auto" w:fill="FFFFFF"/>
            <w:tcBorders>
              <w:left w:val="single" w:sz="4"/>
              <w:righ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2"/>
                <w:vertAlign w:val="superscript"/>
              </w:rPr>
              <w:t>0</w:t>
            </w:r>
            <w:r>
              <w:rPr>
                <w:rStyle w:val="CharStyle31"/>
              </w:rPr>
              <w:t>С</w:t>
            </w:r>
          </w:p>
        </w:tc>
      </w:tr>
      <w:tr>
        <w:trPr>
          <w:trHeight w:val="806"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1"/>
              </w:rPr>
              <w:t>Добавки</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кремнефтористый натрий или фтористый натрий</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Значение,</w:t>
            </w:r>
          </w:p>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предлагаемое</w:t>
            </w:r>
          </w:p>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участником</w:t>
            </w: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850"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1"/>
              </w:rPr>
              <w:t>Минимальное</w:t>
            </w:r>
          </w:p>
          <w:p>
            <w:pPr>
              <w:pStyle w:val="Style7"/>
              <w:framePr w:w="10368"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1"/>
              </w:rPr>
              <w:t>содержание</w:t>
            </w:r>
          </w:p>
          <w:p>
            <w:pPr>
              <w:pStyle w:val="Style7"/>
              <w:framePr w:w="10368"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1"/>
              </w:rPr>
              <w:t>наполнителя</w:t>
            </w:r>
          </w:p>
          <w:p>
            <w:pPr>
              <w:pStyle w:val="Style7"/>
              <w:framePr w:w="10368"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1"/>
              </w:rPr>
              <w:t>волокнистого</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1"/>
              </w:rPr>
              <w:t>Должно быть от 12</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Значение,</w:t>
            </w:r>
          </w:p>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предлагаемое</w:t>
            </w:r>
          </w:p>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участником</w:t>
            </w:r>
          </w:p>
        </w:tc>
        <w:tc>
          <w:tcPr>
            <w:shd w:val="clear" w:color="auto" w:fill="FFFFFF"/>
            <w:tcBorders>
              <w:left w:val="single" w:sz="4"/>
              <w:righ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1"/>
              </w:rPr>
              <w:t>% по массе</w:t>
            </w:r>
          </w:p>
        </w:tc>
      </w:tr>
      <w:tr>
        <w:trPr>
          <w:trHeight w:val="835"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368"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1"/>
              </w:rPr>
              <w:t>Максимальное</w:t>
            </w:r>
          </w:p>
          <w:p>
            <w:pPr>
              <w:pStyle w:val="Style7"/>
              <w:framePr w:w="10368"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1"/>
              </w:rPr>
              <w:t>содержание</w:t>
            </w:r>
          </w:p>
          <w:p>
            <w:pPr>
              <w:pStyle w:val="Style7"/>
              <w:framePr w:w="10368"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1"/>
              </w:rPr>
              <w:t>наполнителя</w:t>
            </w:r>
          </w:p>
          <w:p>
            <w:pPr>
              <w:pStyle w:val="Style7"/>
              <w:framePr w:w="10368"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31"/>
              </w:rPr>
              <w:t>пылевидного</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1"/>
              </w:rPr>
              <w:t>не должно быть &gt;30</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Значение,</w:t>
            </w:r>
          </w:p>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предлагаемое</w:t>
            </w:r>
          </w:p>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участником</w:t>
            </w:r>
          </w:p>
        </w:tc>
        <w:tc>
          <w:tcPr>
            <w:shd w:val="clear" w:color="auto" w:fill="FFFFFF"/>
            <w:tcBorders>
              <w:left w:val="single" w:sz="4"/>
              <w:righ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1"/>
              </w:rPr>
              <w:t>% по массе</w:t>
            </w:r>
          </w:p>
        </w:tc>
      </w:tr>
      <w:tr>
        <w:trPr>
          <w:trHeight w:val="806"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1"/>
              </w:rPr>
              <w:t>Марка</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МБК-Г-55А, МБК-Г-75; МБК-Г-75А, МБК-Г-55</w:t>
            </w:r>
          </w:p>
        </w:tc>
        <w:tc>
          <w:tcPr>
            <w:shd w:val="clear" w:color="auto" w:fill="FFFFFF"/>
            <w:tcBorders>
              <w:left w:val="single" w:sz="4"/>
              <w:top w:val="single" w:sz="4"/>
            </w:tcBorders>
            <w:vAlign w:val="top"/>
          </w:tcPr>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Значение,</w:t>
            </w:r>
          </w:p>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предлагаемое</w:t>
            </w:r>
          </w:p>
          <w:p>
            <w:pPr>
              <w:pStyle w:val="Style7"/>
              <w:framePr w:w="10368"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31"/>
              </w:rPr>
              <w:t>участником</w:t>
            </w: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336" w:hRule="exact"/>
        </w:trPr>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68" w:wrap="notBeside" w:vAnchor="text" w:hAnchor="text" w:xAlign="center" w:y="1"/>
              <w:widowControl w:val="0"/>
              <w:rPr>
                <w:sz w:val="10"/>
                <w:szCs w:val="10"/>
              </w:rPr>
            </w:pPr>
          </w:p>
        </w:tc>
      </w:tr>
    </w:tbl>
    <w:p>
      <w:pPr>
        <w:widowControl w:val="0"/>
        <w:rPr>
          <w:sz w:val="2"/>
          <w:szCs w:val="2"/>
        </w:rPr>
      </w:pPr>
    </w:p>
    <w:p>
      <w:pPr>
        <w:pStyle w:val="Style7"/>
        <w:widowControl w:val="0"/>
        <w:keepNext w:val="0"/>
        <w:keepLines w:val="0"/>
        <w:shd w:val="clear" w:color="auto" w:fill="auto"/>
        <w:bidi w:val="0"/>
        <w:jc w:val="both"/>
        <w:spacing w:before="0" w:after="0" w:line="260" w:lineRule="exact"/>
        <w:ind w:left="40" w:right="0" w:firstLine="84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0"/>
        <w:ind w:left="40" w:right="180" w:firstLine="840"/>
      </w:pPr>
      <w:r>
        <w:rPr>
          <w:lang w:val="ru-RU" w:eastAsia="ru-RU" w:bidi="ru-RU"/>
          <w:w w:val="100"/>
          <w:spacing w:val="0"/>
          <w:color w:val="000000"/>
          <w:position w:val="0"/>
        </w:rPr>
        <w:t>При этом документация об Аукционе содержит Инструкцию по заполнению первых частей заявок участников, согласно которой: «.</w:t>
      </w:r>
    </w:p>
    <w:p>
      <w:pPr>
        <w:pStyle w:val="Style22"/>
        <w:tabs>
          <w:tab w:leader="none" w:pos="6458" w:val="left"/>
        </w:tabs>
        <w:widowControl w:val="0"/>
        <w:keepNext w:val="0"/>
        <w:keepLines w:val="0"/>
        <w:shd w:val="clear" w:color="auto" w:fill="auto"/>
        <w:bidi w:val="0"/>
        <w:spacing w:before="0" w:after="0" w:line="283" w:lineRule="exact"/>
        <w:ind w:left="40" w:right="180" w:firstLine="840"/>
      </w:pPr>
      <w:r>
        <w:rPr>
          <w:lang w:val="ru-RU" w:eastAsia="ru-RU" w:bidi="ru-RU"/>
          <w:w w:val="100"/>
          <w:spacing w:val="0"/>
          <w:color w:val="000000"/>
          <w:position w:val="0"/>
        </w:rPr>
        <w:t>Если значения или диапазоны значений параметра указаны одновременно с использованием символов «точка с запятой», «запятая», - участнику закупки необходимо представить в заявке значения или диапазоны значений, разделенных символом «точка с запятой», и следует руководствоваться правилом, что символ «;» действует между двумя группами значений, разделенными этим знаком (например, требование А, Б; В, Д, участник закупки должен предоставить группу значений (А и Б) или группу (В и Д)).</w:t>
      </w:r>
      <w:r>
        <w:rPr>
          <w:rStyle w:val="CharStyle33"/>
        </w:rPr>
        <w:t>.</w:t>
        <w:tab/>
        <w:t>« (цитата).</w:t>
      </w:r>
    </w:p>
    <w:p>
      <w:pPr>
        <w:pStyle w:val="Style7"/>
        <w:widowControl w:val="0"/>
        <w:keepNext w:val="0"/>
        <w:keepLines w:val="0"/>
        <w:shd w:val="clear" w:color="auto" w:fill="auto"/>
        <w:bidi w:val="0"/>
        <w:jc w:val="both"/>
        <w:spacing w:before="0" w:after="0" w:line="307" w:lineRule="exact"/>
        <w:ind w:left="40" w:right="180" w:firstLine="840"/>
      </w:pPr>
      <w:r>
        <w:rPr>
          <w:lang w:val="ru-RU" w:eastAsia="ru-RU" w:bidi="ru-RU"/>
          <w:w w:val="100"/>
          <w:spacing w:val="0"/>
          <w:color w:val="000000"/>
          <w:position w:val="0"/>
        </w:rPr>
        <w:t>На заседании Комиссии представитель Уполномоченного органа пояснил, что Заявителем в составе своей первой части заявки под порядковым номером «4» представлены показатели товаров (материалов), используемых при выполнении работ противоречащие требованиям документации об Аукционе, а именно: «.</w:t>
      </w:r>
      <w:r>
        <w:rPr>
          <w:rStyle w:val="CharStyle34"/>
        </w:rPr>
        <w:t>участником электронного аукциона по номенклатурной позиции №67 предложен показатель «Марка» со значением «</w:t>
      </w:r>
      <w:r>
        <w:rPr>
          <w:rStyle w:val="CharStyle35"/>
        </w:rPr>
        <w:t>МБК-Г-55А</w:t>
      </w:r>
      <w:r>
        <w:rPr>
          <w:rStyle w:val="CharStyle34"/>
        </w:rPr>
        <w:t>» (цитата из заявки), вместо требуемого заказчику «</w:t>
      </w:r>
      <w:r>
        <w:rPr>
          <w:rStyle w:val="CharStyle36"/>
        </w:rPr>
        <w:t>МБК-Г -</w:t>
      </w:r>
      <w:r>
        <w:rPr>
          <w:rStyle w:val="CharStyle34"/>
        </w:rPr>
        <w:t xml:space="preserve"> </w:t>
      </w:r>
      <w:r>
        <w:rPr>
          <w:rStyle w:val="CharStyle36"/>
        </w:rPr>
        <w:t>55А, МБК-Г-75; МБК-Г-75А, МБК-Г-55</w:t>
      </w:r>
      <w:r>
        <w:rPr>
          <w:rStyle w:val="CharStyle34"/>
        </w:rPr>
        <w:t>».</w:t>
      </w:r>
      <w:r>
        <w:br w:type="page"/>
      </w:r>
    </w:p>
    <w:p>
      <w:pPr>
        <w:pStyle w:val="Style22"/>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 требованиям документации об электронном аукционе</w:t>
      </w:r>
      <w:r>
        <w:rPr>
          <w:rStyle w:val="CharStyle33"/>
        </w:rPr>
        <w:t>.» (цитата письменных пояснений).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«4» (Заявитель), предоставленную представителем Уполномоченного органа, с учетом пояснений представителя Уполномоченного органа и положений Инструкции по заполнению первых частей заявок участников,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240"/>
        <w:ind w:left="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77" w:line="260" w:lineRule="exact"/>
        <w:ind w:left="20" w:right="0" w:firstLine="0"/>
      </w:pPr>
      <w:r>
        <w:rPr>
          <w:lang w:val="ru-RU" w:eastAsia="ru-RU" w:bidi="ru-RU"/>
          <w:w w:val="100"/>
          <w:spacing w:val="0"/>
          <w:color w:val="000000"/>
          <w:position w:val="0"/>
        </w:rPr>
        <w:t>РЕШИЛА:</w:t>
      </w:r>
    </w:p>
    <w:p>
      <w:pPr>
        <w:pStyle w:val="Style7"/>
        <w:numPr>
          <w:ilvl w:val="0"/>
          <w:numId w:val="7"/>
        </w:numPr>
        <w:widowControl w:val="0"/>
        <w:keepNext w:val="0"/>
        <w:keepLines w:val="0"/>
        <w:shd w:val="clear" w:color="auto" w:fill="auto"/>
        <w:bidi w:val="0"/>
        <w:jc w:val="both"/>
        <w:spacing w:before="0" w:after="128"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7"/>
        </w:numPr>
        <w:widowControl w:val="0"/>
        <w:keepNext w:val="0"/>
        <w:keepLines w:val="0"/>
        <w:shd w:val="clear" w:color="auto" w:fill="auto"/>
        <w:bidi w:val="0"/>
        <w:jc w:val="both"/>
        <w:spacing w:before="0" w:after="244"/>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 06/12678.</w:t>
      </w:r>
    </w:p>
    <w:p>
      <w:pPr>
        <w:pStyle w:val="Style7"/>
        <w:widowControl w:val="0"/>
        <w:keepNext w:val="0"/>
        <w:keepLines w:val="0"/>
        <w:shd w:val="clear" w:color="auto" w:fill="auto"/>
        <w:bidi w:val="0"/>
        <w:jc w:val="both"/>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66" w:val="right"/>
          <w:tab w:leader="none" w:pos="8400" w:val="right"/>
          <w:tab w:leader="none" w:pos="960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2" w:val="right"/>
          <w:tab w:leader="none" w:pos="838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28"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446" w:left="797" w:right="639" w:bottom="92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4">
    <w:name w:val="Подпись к таблице (2)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5">
    <w:name w:val="Подпись к таблице (2)"/>
    <w:basedOn w:val="CharStyle14"/>
    <w:rPr>
      <w:lang w:val="ru-RU" w:eastAsia="ru-RU" w:bidi="ru-RU"/>
      <w:u w:val="single"/>
      <w:w w:val="100"/>
      <w:spacing w:val="0"/>
      <w:color w:val="000000"/>
      <w:position w:val="0"/>
    </w:rPr>
  </w:style>
  <w:style w:type="character" w:customStyle="1" w:styleId="CharStyle16">
    <w:name w:val="Подпись к таблице (2)"/>
    <w:basedOn w:val="CharStyle14"/>
    <w:rPr>
      <w:lang w:val="ru-RU" w:eastAsia="ru-RU" w:bidi="ru-RU"/>
      <w:u w:val="single"/>
      <w:w w:val="100"/>
      <w:spacing w:val="0"/>
      <w:color w:val="000000"/>
      <w:position w:val="0"/>
    </w:rPr>
  </w:style>
  <w:style w:type="character" w:customStyle="1" w:styleId="CharStyle18">
    <w:name w:val="Подпись к таблице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Подпись к таблице"/>
    <w:basedOn w:val="CharStyle18"/>
    <w:rPr>
      <w:lang w:val="ru-RU" w:eastAsia="ru-RU" w:bidi="ru-RU"/>
      <w:u w:val="single"/>
      <w:w w:val="100"/>
      <w:spacing w:val="0"/>
      <w:color w:val="000000"/>
      <w:position w:val="0"/>
    </w:rPr>
  </w:style>
  <w:style w:type="character" w:customStyle="1" w:styleId="CharStyle20">
    <w:name w:val="Основной текст + 11 pt,Полужирный"/>
    <w:basedOn w:val="CharStyle9"/>
    <w:rPr>
      <w:lang w:val="ru-RU" w:eastAsia="ru-RU" w:bidi="ru-RU"/>
      <w:b/>
      <w:bCs/>
      <w:sz w:val="22"/>
      <w:szCs w:val="22"/>
      <w:w w:val="100"/>
      <w:spacing w:val="0"/>
      <w:color w:val="000000"/>
      <w:position w:val="0"/>
    </w:rPr>
  </w:style>
  <w:style w:type="character" w:customStyle="1" w:styleId="CharStyle21">
    <w:name w:val="Основной текст + 11 pt"/>
    <w:basedOn w:val="CharStyle9"/>
    <w:rPr>
      <w:lang w:val="ru-RU" w:eastAsia="ru-RU" w:bidi="ru-RU"/>
      <w:sz w:val="22"/>
      <w:szCs w:val="22"/>
      <w:w w:val="100"/>
      <w:spacing w:val="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Основной текст (5)"/>
    <w:basedOn w:val="CharStyle23"/>
    <w:rPr>
      <w:lang w:val="ru-RU" w:eastAsia="ru-RU" w:bidi="ru-RU"/>
      <w:u w:val="single"/>
      <w:w w:val="100"/>
      <w:spacing w:val="0"/>
      <w:color w:val="000000"/>
      <w:position w:val="0"/>
    </w:rPr>
  </w:style>
  <w:style w:type="character" w:customStyle="1" w:styleId="CharStyle25">
    <w:name w:val="Основной текст (5) + Полужирный"/>
    <w:basedOn w:val="CharStyle23"/>
    <w:rPr>
      <w:lang w:val="ru-RU" w:eastAsia="ru-RU" w:bidi="ru-RU"/>
      <w:b/>
      <w:bCs/>
      <w:w w:val="100"/>
      <w:spacing w:val="0"/>
      <w:color w:val="000000"/>
      <w:position w:val="0"/>
    </w:rPr>
  </w:style>
  <w:style w:type="character" w:customStyle="1" w:styleId="CharStyle26">
    <w:name w:val="Основной текст"/>
    <w:basedOn w:val="CharStyle9"/>
    <w:rPr>
      <w:lang w:val="ru-RU" w:eastAsia="ru-RU" w:bidi="ru-RU"/>
      <w:w w:val="100"/>
      <w:spacing w:val="0"/>
      <w:color w:val="000000"/>
      <w:position w:val="0"/>
    </w:rPr>
  </w:style>
  <w:style w:type="character" w:customStyle="1" w:styleId="CharStyle28">
    <w:name w:val="Подпись к таблице (3)_"/>
    <w:basedOn w:val="DefaultParagraphFont"/>
    <w:link w:val="Style27"/>
    <w:rPr>
      <w:b/>
      <w:bCs/>
      <w:i w:val="0"/>
      <w:iCs w:val="0"/>
      <w:u w:val="none"/>
      <w:strike w:val="0"/>
      <w:smallCaps w:val="0"/>
      <w:sz w:val="19"/>
      <w:szCs w:val="19"/>
      <w:rFonts w:ascii="Times New Roman" w:eastAsia="Times New Roman" w:hAnsi="Times New Roman" w:cs="Times New Roman"/>
    </w:rPr>
  </w:style>
  <w:style w:type="character" w:customStyle="1" w:styleId="CharStyle29">
    <w:name w:val="Подпись к таблице (3) + Курсив"/>
    <w:basedOn w:val="CharStyle28"/>
    <w:rPr>
      <w:lang w:val="ru-RU" w:eastAsia="ru-RU" w:bidi="ru-RU"/>
      <w:i/>
      <w:iCs/>
      <w:w w:val="100"/>
      <w:spacing w:val="0"/>
      <w:color w:val="000000"/>
      <w:position w:val="0"/>
    </w:rPr>
  </w:style>
  <w:style w:type="character" w:customStyle="1" w:styleId="CharStyle30">
    <w:name w:val="Подпись к таблице (3)"/>
    <w:basedOn w:val="CharStyle28"/>
    <w:rPr>
      <w:lang w:val="ru-RU" w:eastAsia="ru-RU" w:bidi="ru-RU"/>
      <w:u w:val="single"/>
      <w:w w:val="100"/>
      <w:spacing w:val="0"/>
      <w:color w:val="000000"/>
      <w:position w:val="0"/>
    </w:rPr>
  </w:style>
  <w:style w:type="character" w:customStyle="1" w:styleId="CharStyle31">
    <w:name w:val="Основной текст + 8,5 pt"/>
    <w:basedOn w:val="CharStyle9"/>
    <w:rPr>
      <w:lang w:val="ru-RU" w:eastAsia="ru-RU" w:bidi="ru-RU"/>
      <w:sz w:val="17"/>
      <w:szCs w:val="17"/>
      <w:w w:val="100"/>
      <w:spacing w:val="0"/>
      <w:color w:val="000000"/>
      <w:position w:val="0"/>
    </w:rPr>
  </w:style>
  <w:style w:type="character" w:customStyle="1" w:styleId="CharStyle32">
    <w:name w:val="Основной текст + 10 pt"/>
    <w:basedOn w:val="CharStyle9"/>
    <w:rPr>
      <w:lang w:val="ru-RU" w:eastAsia="ru-RU" w:bidi="ru-RU"/>
      <w:sz w:val="20"/>
      <w:szCs w:val="20"/>
      <w:w w:val="100"/>
      <w:spacing w:val="0"/>
      <w:color w:val="000000"/>
      <w:position w:val="0"/>
    </w:rPr>
  </w:style>
  <w:style w:type="character" w:customStyle="1" w:styleId="CharStyle33">
    <w:name w:val="Основной текст (5) + 13 pt"/>
    <w:basedOn w:val="CharStyle23"/>
    <w:rPr>
      <w:lang w:val="ru-RU" w:eastAsia="ru-RU" w:bidi="ru-RU"/>
      <w:sz w:val="26"/>
      <w:szCs w:val="26"/>
      <w:w w:val="100"/>
      <w:spacing w:val="0"/>
      <w:color w:val="000000"/>
      <w:position w:val="0"/>
    </w:rPr>
  </w:style>
  <w:style w:type="character" w:customStyle="1" w:styleId="CharStyle34">
    <w:name w:val="Основной текст + 11 pt"/>
    <w:basedOn w:val="CharStyle9"/>
    <w:rPr>
      <w:lang w:val="ru-RU" w:eastAsia="ru-RU" w:bidi="ru-RU"/>
      <w:sz w:val="22"/>
      <w:szCs w:val="22"/>
      <w:w w:val="100"/>
      <w:spacing w:val="0"/>
      <w:color w:val="000000"/>
      <w:position w:val="0"/>
    </w:rPr>
  </w:style>
  <w:style w:type="character" w:customStyle="1" w:styleId="CharStyle35">
    <w:name w:val="Основной текст + 11 pt,Полужирный"/>
    <w:basedOn w:val="CharStyle9"/>
    <w:rPr>
      <w:lang w:val="ru-RU" w:eastAsia="ru-RU" w:bidi="ru-RU"/>
      <w:b/>
      <w:bCs/>
      <w:sz w:val="22"/>
      <w:szCs w:val="22"/>
      <w:w w:val="100"/>
      <w:spacing w:val="0"/>
      <w:color w:val="000000"/>
      <w:position w:val="0"/>
    </w:rPr>
  </w:style>
  <w:style w:type="character" w:customStyle="1" w:styleId="CharStyle36">
    <w:name w:val="Основной текст + 11 pt"/>
    <w:basedOn w:val="CharStyle9"/>
    <w:rPr>
      <w:lang w:val="ru-RU" w:eastAsia="ru-RU" w:bidi="ru-RU"/>
      <w:u w:val="single"/>
      <w:sz w:val="22"/>
      <w:szCs w:val="22"/>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spacing w:val="1"/>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Подпись к таблице (2)"/>
    <w:basedOn w:val="Normal"/>
    <w:link w:val="CharStyle14"/>
    <w:pPr>
      <w:widowControl w:val="0"/>
      <w:shd w:val="clear" w:color="auto" w:fill="FFFFFF"/>
      <w:jc w:val="both"/>
      <w:spacing w:line="322" w:lineRule="exact"/>
      <w:ind w:firstLine="700"/>
    </w:pPr>
    <w:rPr>
      <w:b w:val="0"/>
      <w:bCs w:val="0"/>
      <w:i w:val="0"/>
      <w:iCs w:val="0"/>
      <w:u w:val="none"/>
      <w:strike w:val="0"/>
      <w:smallCaps w:val="0"/>
      <w:sz w:val="26"/>
      <w:szCs w:val="26"/>
      <w:rFonts w:ascii="Times New Roman" w:eastAsia="Times New Roman" w:hAnsi="Times New Roman" w:cs="Times New Roman"/>
    </w:rPr>
  </w:style>
  <w:style w:type="paragraph" w:customStyle="1" w:styleId="Style17">
    <w:name w:val="Подпись к таблице"/>
    <w:basedOn w:val="Normal"/>
    <w:link w:val="CharStyle18"/>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7">
    <w:name w:val="Подпись к таблице (3)"/>
    <w:basedOn w:val="Normal"/>
    <w:link w:val="CharStyle28"/>
    <w:pPr>
      <w:widowControl w:val="0"/>
      <w:shd w:val="clear" w:color="auto" w:fill="FFFFFF"/>
      <w:spacing w:line="259" w:lineRule="exact"/>
      <w:ind w:firstLine="6100"/>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