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17" w:h="2597" w:wrap="around" w:vAnchor="text" w:hAnchor="margin" w:x="-81" w:y="723"/>
        <w:widowControl w:val="0"/>
        <w:keepNext w:val="0"/>
        <w:keepLines w:val="0"/>
        <w:shd w:val="clear" w:color="auto" w:fill="auto"/>
        <w:bidi w:val="0"/>
        <w:spacing w:before="0" w:after="0"/>
        <w:ind w:left="20" w:right="0" w:firstLine="0"/>
      </w:pPr>
      <w:r>
        <w:rPr>
          <w:rStyle w:val="CharStyle4"/>
          <w:b/>
          <w:bCs/>
          <w:spacing w:val="0"/>
        </w:rPr>
        <w:t>УПРАВЛЕНИЕ Федеральной антимонопольной службы по Республике Крым и городу Севастополю</w:t>
      </w:r>
    </w:p>
    <w:p>
      <w:pPr>
        <w:pStyle w:val="Style5"/>
        <w:framePr w:w="4917" w:h="2597" w:wrap="around" w:vAnchor="text" w:hAnchor="margin" w:x="-81" w:y="723"/>
        <w:widowControl w:val="0"/>
        <w:keepNext w:val="0"/>
        <w:keepLines w:val="0"/>
        <w:shd w:val="clear" w:color="auto" w:fill="auto"/>
        <w:bidi w:val="0"/>
        <w:spacing w:before="0" w:after="89"/>
        <w:ind w:left="2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917" w:h="2597" w:wrap="around" w:vAnchor="text" w:hAnchor="margin" w:x="-81" w:y="723"/>
        <w:widowControl w:val="0"/>
        <w:keepNext w:val="0"/>
        <w:keepLines w:val="0"/>
        <w:shd w:val="clear" w:color="auto" w:fill="auto"/>
        <w:bidi w:val="0"/>
        <w:jc w:val="left"/>
        <w:spacing w:before="0" w:after="0" w:line="446" w:lineRule="exact"/>
        <w:ind w:left="20" w:right="2260" w:firstLine="0"/>
      </w:pPr>
      <w:r>
        <w:rPr>
          <w:rStyle w:val="CharStyle8"/>
          <w:spacing w:val="0"/>
        </w:rPr>
        <w:t>30.10.2017 №06/12354 На № б/н, б/д</w:t>
      </w:r>
    </w:p>
    <w:p>
      <w:pPr>
        <w:pStyle w:val="Style3"/>
        <w:widowControl w:val="0"/>
        <w:keepNext w:val="0"/>
        <w:keepLines w:val="0"/>
        <w:shd w:val="clear" w:color="auto" w:fill="auto"/>
        <w:bidi w:val="0"/>
        <w:spacing w:before="0" w:after="566"/>
        <w:ind w:left="400" w:right="0" w:firstLine="0"/>
      </w:pPr>
      <w:r>
        <w:rPr>
          <w:lang w:val="ru-RU" w:eastAsia="ru-RU" w:bidi="ru-RU"/>
          <w:w w:val="100"/>
          <w:spacing w:val="0"/>
          <w:color w:val="000000"/>
          <w:position w:val="0"/>
        </w:rPr>
        <w:t>ФЕДЕРАЛЬНАЯ АНТИМОНОПОЛЬНАЯ СЛУЖБА</w:t>
      </w:r>
    </w:p>
    <w:p>
      <w:pPr>
        <w:pStyle w:val="Style7"/>
        <w:numPr>
          <w:ilvl w:val="0"/>
          <w:numId w:val="1"/>
        </w:numPr>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00" w:firstLine="0"/>
      </w:pPr>
      <w:r>
        <w:rPr>
          <w:lang w:val="ru-RU" w:eastAsia="ru-RU" w:bidi="ru-RU"/>
          <w:w w:val="100"/>
          <w:spacing w:val="0"/>
          <w:color w:val="000000"/>
          <w:position w:val="0"/>
        </w:rPr>
        <w:t>Межрегиональное Управление Федеральной службы по надзору в сфере защиты прав потребителей и благополучия человека по Республике Крым и городу федерального значения Севастополю</w:t>
      </w:r>
    </w:p>
    <w:p>
      <w:pPr>
        <w:pStyle w:val="Style7"/>
        <w:widowControl w:val="0"/>
        <w:keepNext w:val="0"/>
        <w:keepLines w:val="0"/>
        <w:shd w:val="clear" w:color="auto" w:fill="auto"/>
        <w:bidi w:val="0"/>
        <w:jc w:val="left"/>
        <w:spacing w:before="0" w:after="289"/>
        <w:ind w:left="4980" w:right="660" w:firstLine="0"/>
      </w:pPr>
      <w:r>
        <w:rPr>
          <w:lang w:val="ru-RU" w:eastAsia="ru-RU" w:bidi="ru-RU"/>
          <w:w w:val="100"/>
          <w:spacing w:val="0"/>
          <w:color w:val="000000"/>
          <w:position w:val="0"/>
        </w:rPr>
        <w:t>295034, Республика Крым, г. Симферополь, ул. Набережная, д. 67</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660" w:firstLine="0"/>
      </w:pPr>
      <w:r>
        <w:rPr>
          <w:lang w:val="ru-RU" w:eastAsia="ru-RU" w:bidi="ru-RU"/>
          <w:w w:val="100"/>
          <w:spacing w:val="0"/>
          <w:color w:val="000000"/>
          <w:position w:val="0"/>
        </w:rPr>
        <w:t>Индивидуальный предприниматель Иотова Алёна Владимировна 295026, Республика Крым,</w:t>
      </w:r>
    </w:p>
    <w:p>
      <w:pPr>
        <w:pStyle w:val="Style7"/>
        <w:widowControl w:val="0"/>
        <w:keepNext w:val="0"/>
        <w:keepLines w:val="0"/>
        <w:shd w:val="clear" w:color="auto" w:fill="auto"/>
        <w:bidi w:val="0"/>
        <w:jc w:val="left"/>
        <w:spacing w:before="0" w:after="236" w:line="317" w:lineRule="exact"/>
        <w:ind w:left="4980" w:right="660" w:firstLine="0"/>
      </w:pPr>
      <w:r>
        <w:rPr>
          <w:lang w:val="ru-RU" w:eastAsia="ru-RU" w:bidi="ru-RU"/>
          <w:w w:val="100"/>
          <w:spacing w:val="0"/>
          <w:color w:val="000000"/>
          <w:position w:val="0"/>
        </w:rPr>
        <w:t>г. Симферополь, ул. Гагарина, д. 26, кв. 38</w:t>
      </w:r>
    </w:p>
    <w:p>
      <w:pPr>
        <w:pStyle w:val="Style7"/>
        <w:numPr>
          <w:ilvl w:val="0"/>
          <w:numId w:val="1"/>
        </w:numPr>
        <w:widowControl w:val="0"/>
        <w:keepNext w:val="0"/>
        <w:keepLines w:val="0"/>
        <w:shd w:val="clear" w:color="auto" w:fill="auto"/>
        <w:bidi w:val="0"/>
        <w:jc w:val="left"/>
        <w:spacing w:before="0" w:after="0"/>
        <w:ind w:left="4980" w:right="22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119435, г. Москва,</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Большой Саввинский переулок,</w:t>
      </w:r>
    </w:p>
    <w:p>
      <w:pPr>
        <w:pStyle w:val="Style7"/>
        <w:widowControl w:val="0"/>
        <w:keepNext w:val="0"/>
        <w:keepLines w:val="0"/>
        <w:shd w:val="clear" w:color="auto" w:fill="auto"/>
        <w:bidi w:val="0"/>
        <w:jc w:val="left"/>
        <w:spacing w:before="0" w:after="240"/>
        <w:ind w:left="4980" w:right="0" w:firstLine="0"/>
      </w:pPr>
      <w:r>
        <w:rPr>
          <w:lang w:val="ru-RU" w:eastAsia="ru-RU" w:bidi="ru-RU"/>
          <w:w w:val="100"/>
          <w:spacing w:val="0"/>
          <w:color w:val="000000"/>
          <w:position w:val="0"/>
        </w:rPr>
        <w:t>д. 12, строение 9</w:t>
      </w:r>
    </w:p>
    <w:p>
      <w:pPr>
        <w:pStyle w:val="Style11"/>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№06/4086-17 о нарушении законодательства Российской Федерации о контрактной системе в сфере закупок</w:t>
      </w:r>
    </w:p>
    <w:p>
      <w:pPr>
        <w:pStyle w:val="Style7"/>
        <w:numPr>
          <w:ilvl w:val="0"/>
          <w:numId w:val="3"/>
        </w:numPr>
        <w:tabs>
          <w:tab w:leader="none" w:pos="8022" w:val="left"/>
          <w:tab w:leader="none" w:pos="8066"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7"/>
        <w:tabs>
          <w:tab w:leader="none" w:pos="395"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представителя интересов Заказчика В. В. Хабрат (по доверенности),</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представители Заявителя на заседание Комиссии не явились, —</w:t>
      </w:r>
    </w:p>
    <w:p>
      <w:pPr>
        <w:pStyle w:val="Style7"/>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рассмотрев жалобу Заявителя б/д, б/н (вх. №1412/10 от 24.10.2017) на действия Заказчика при проведении электронного аукциона «Поставка канцелярских товаров» (номер извещения 0175100002517000026)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w:t>
      </w:r>
      <w:r>
        <w:rPr>
          <w:rStyle w:val="CharStyle13"/>
        </w:rPr>
        <w:t>ици</w:t>
      </w:r>
      <w:r>
        <w:rPr>
          <w:lang w:val="ru-RU" w:eastAsia="ru-RU" w:bidi="ru-RU"/>
          <w:w w:val="100"/>
          <w:spacing w:val="0"/>
          <w:color w:val="000000"/>
          <w:position w:val="0"/>
        </w:rPr>
        <w:t>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 По мнению Заявителя, его права и законные интересы нарушены следующими действиями Заказчика:</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 не предоставил ответ на запрос Заявителя о предоставлении разъяснении документации об Аукционе.</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установлено в документации об Аукционе ненадлежащее описание объекта закупки.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№06/12099,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16:00 27.10.2017.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15:30 30.10.2017.</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На заседании Комиссии представитель Заказчика не согласился с доводами</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Заявителя и сообщил,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30.10.2017;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- 700 000,00 рублей;</w:t>
      </w:r>
    </w:p>
    <w:p>
      <w:pPr>
        <w:pStyle w:val="Style7"/>
        <w:numPr>
          <w:ilvl w:val="0"/>
          <w:numId w:val="7"/>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дата и время окончания подачи заявок: 11.10.2017 09:00, дата окончания срока рассмотрения первых частей заявок участников: 13.10.2017, дата проведения Аукциона: 16.10.2017.</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качестве довода жалобы Заявитель указывает на то, что Заказчик не предоставил ответ на запрос Заявителя о предоставлении разъяснении документации об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65 Закона о контрактной системе в течение двух дней с даты поступления от оператора электронной площадки запроса о даче разъяснений положений документации о таком аукционе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Заказчика пояснил, что несвоевременное размещение на официальном сайте на запрос Заявителя о предоставлении разъяснении документации об Аукционе вызвано отсутствием доступа к информационно-телекоммуникационной сети Интернет в связи с поломкой на линии провайдера.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данные действия Заказчика нарушают требования части 4 статьи 65 Закона о контрактной системе.</w:t>
      </w:r>
    </w:p>
    <w:p>
      <w:pPr>
        <w:pStyle w:val="Style7"/>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Таким образом, данный довод Заявителя нашел свое подтверждение.</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установлено в документации об Аукционе ненадлежащее описание объекта закупки.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tabs>
          <w:tab w:leader="none" w:pos="4640" w:val="right"/>
          <w:tab w:leader="none" w:pos="4783" w:val="left"/>
          <w:tab w:leader="none" w:pos="5882"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Согласно пунктам 1,</w:t>
        <w:tab/>
        <w:t>2 части</w:t>
        <w:tab/>
        <w:t>1 статьи</w:t>
        <w:tab/>
        <w:t>33 Закона о контрактной системе</w:t>
      </w:r>
    </w:p>
    <w:p>
      <w:pPr>
        <w:pStyle w:val="Style7"/>
        <w:tabs>
          <w:tab w:leader="none" w:pos="4640" w:val="right"/>
          <w:tab w:leader="none" w:pos="5819"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заказчик при описании в</w:t>
        <w:tab/>
        <w:t>документации о</w:t>
        <w:tab/>
        <w:t>закупке объекта закупки должен</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руководствоваться следующими правилами:</w:t>
      </w:r>
    </w:p>
    <w:p>
      <w:pPr>
        <w:pStyle w:val="Style7"/>
        <w:numPr>
          <w:ilvl w:val="0"/>
          <w:numId w:val="7"/>
        </w:numPr>
        <w:tabs>
          <w:tab w:leader="none" w:pos="4640" w:val="right"/>
          <w:tab w:leader="none" w:pos="4783" w:val="left"/>
          <w:tab w:leader="none" w:pos="5825"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описание объекта</w:t>
        <w:tab/>
        <w:t>закупки</w:t>
        <w:tab/>
        <w:t>должно</w:t>
        <w:tab/>
        <w:t>носить объективный характер. В</w:t>
      </w:r>
    </w:p>
    <w:p>
      <w:pPr>
        <w:pStyle w:val="Style7"/>
        <w:tabs>
          <w:tab w:leader="none" w:pos="846" w:val="left"/>
          <w:tab w:leader="none" w:pos="4705" w:val="left"/>
          <w:tab w:leader="none" w:pos="585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w:t>
        <w:tab/>
        <w:t>необходимости). В описание</w:t>
        <w:tab/>
        <w:t>объекта</w:t>
        <w:tab/>
        <w:t>закупки не должны включаться</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(пункт 1 части 1 статьи 33 Закона о контрактной системе);</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 (пункт 2 части 1 статьи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7"/>
        <w:widowControl w:val="0"/>
        <w:keepNext w:val="0"/>
        <w:keepLines w:val="0"/>
        <w:shd w:val="clear" w:color="auto" w:fill="auto"/>
        <w:bidi w:val="0"/>
        <w:jc w:val="left"/>
        <w:spacing w:before="0" w:after="0"/>
        <w:ind w:left="20" w:right="20" w:firstLine="700"/>
      </w:pPr>
      <w:r>
        <w:rPr>
          <w:lang w:val="ru-RU" w:eastAsia="ru-RU" w:bidi="ru-RU"/>
          <w:w w:val="100"/>
          <w:spacing w:val="0"/>
          <w:color w:val="000000"/>
          <w:position w:val="0"/>
        </w:rPr>
        <w:t>Комиссия, изучив документацию об Аукционе, установила в данной документации описание объекта закупки.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r>
        <w:br w:type="page"/>
      </w:r>
    </w:p>
    <w:p>
      <w:pPr>
        <w:pStyle w:val="Style7"/>
        <w:widowControl w:val="0"/>
        <w:keepNext w:val="0"/>
        <w:keepLines w:val="0"/>
        <w:shd w:val="clear" w:color="auto" w:fill="auto"/>
        <w:bidi w:val="0"/>
        <w:jc w:val="both"/>
        <w:spacing w:before="0" w:after="0" w:line="326" w:lineRule="exact"/>
        <w:ind w:left="8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6" w:lineRule="exact"/>
        <w:ind w:left="80" w:right="20" w:firstLine="86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документально не подтвердил доводы, изложенные в жалобе.</w:t>
      </w:r>
    </w:p>
    <w:p>
      <w:pPr>
        <w:pStyle w:val="Style7"/>
        <w:widowControl w:val="0"/>
        <w:keepNext w:val="0"/>
        <w:keepLines w:val="0"/>
        <w:shd w:val="clear" w:color="auto" w:fill="auto"/>
        <w:bidi w:val="0"/>
        <w:jc w:val="both"/>
        <w:spacing w:before="0" w:after="180"/>
        <w:ind w:left="8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не является обоснованным.</w:t>
      </w:r>
    </w:p>
    <w:p>
      <w:pPr>
        <w:pStyle w:val="Style7"/>
        <w:numPr>
          <w:ilvl w:val="0"/>
          <w:numId w:val="9"/>
        </w:numPr>
        <w:tabs>
          <w:tab w:leader="none" w:pos="1252" w:val="left"/>
        </w:tabs>
        <w:widowControl w:val="0"/>
        <w:keepNext w:val="0"/>
        <w:keepLines w:val="0"/>
        <w:shd w:val="clear" w:color="auto" w:fill="auto"/>
        <w:bidi w:val="0"/>
        <w:jc w:val="both"/>
        <w:spacing w:before="0" w:after="180"/>
        <w:ind w:left="8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9"/>
        </w:numPr>
        <w:tabs>
          <w:tab w:leader="none" w:pos="1474" w:val="left"/>
        </w:tabs>
        <w:widowControl w:val="0"/>
        <w:keepNext w:val="0"/>
        <w:keepLines w:val="0"/>
        <w:shd w:val="clear" w:color="auto" w:fill="auto"/>
        <w:bidi w:val="0"/>
        <w:jc w:val="both"/>
        <w:spacing w:before="0" w:after="0"/>
        <w:ind w:left="80" w:right="20" w:firstLine="860"/>
      </w:pPr>
      <w:r>
        <w:rPr>
          <w:lang w:val="ru-RU" w:eastAsia="ru-RU" w:bidi="ru-RU"/>
          <w:w w:val="100"/>
          <w:spacing w:val="0"/>
          <w:color w:val="000000"/>
          <w:position w:val="0"/>
        </w:rPr>
        <w:t>Пунктом 11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датах начала и окончания срока предоставления участникам такого аукциона разъяснений положений документации о таком аукционе.</w:t>
      </w:r>
    </w:p>
    <w:p>
      <w:pPr>
        <w:pStyle w:val="Style7"/>
        <w:widowControl w:val="0"/>
        <w:keepNext w:val="0"/>
        <w:keepLines w:val="0"/>
        <w:shd w:val="clear" w:color="auto" w:fill="auto"/>
        <w:bidi w:val="0"/>
        <w:jc w:val="both"/>
        <w:spacing w:before="0" w:after="0"/>
        <w:ind w:left="80" w:right="20" w:firstLine="860"/>
      </w:pPr>
      <w:r>
        <w:rPr>
          <w:lang w:val="ru-RU" w:eastAsia="ru-RU" w:bidi="ru-RU"/>
          <w:w w:val="100"/>
          <w:spacing w:val="0"/>
          <w:color w:val="000000"/>
          <w:position w:val="0"/>
        </w:rPr>
        <w:t>При этом 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pPr>
        <w:pStyle w:val="Style7"/>
        <w:tabs>
          <w:tab w:leader="underscore" w:pos="1098" w:val="center"/>
          <w:tab w:leader="none" w:pos="1329" w:val="left"/>
        </w:tabs>
        <w:widowControl w:val="0"/>
        <w:keepNext w:val="0"/>
        <w:keepLines w:val="0"/>
        <w:shd w:val="clear" w:color="auto" w:fill="auto"/>
        <w:bidi w:val="0"/>
        <w:jc w:val="both"/>
        <w:spacing w:before="0" w:after="0"/>
        <w:ind w:left="80" w:right="0" w:firstLine="0"/>
      </w:pPr>
      <w:r>
        <w:rPr>
          <w:lang w:val="ru-RU" w:eastAsia="ru-RU" w:bidi="ru-RU"/>
          <w:w w:val="100"/>
          <w:spacing w:val="0"/>
          <w:color w:val="000000"/>
          <w:position w:val="0"/>
        </w:rPr>
        <w:tab/>
      </w:r>
      <w:r>
        <w:rPr>
          <w:rStyle w:val="CharStyle13"/>
        </w:rPr>
        <w:t>В</w:t>
        <w:tab/>
        <w:t xml:space="preserve">информационной карте документации об Аукционе Заказчик указал: </w:t>
      </w:r>
      <w:r>
        <w:rPr>
          <w:rStyle w:val="CharStyle16"/>
        </w:rPr>
        <w:t>«...</w:t>
      </w:r>
    </w:p>
    <w:p>
      <w:pPr>
        <w:pStyle w:val="Style3"/>
        <w:framePr w:h="210" w:wrap="around" w:vAnchor="text" w:hAnchor="margin" w:x="87" w:y="1"/>
        <w:widowControl w:val="0"/>
        <w:keepNext w:val="0"/>
        <w:keepLines w:val="0"/>
        <w:shd w:val="clear" w:color="auto" w:fill="auto"/>
        <w:bidi w:val="0"/>
        <w:jc w:val="left"/>
        <w:spacing w:before="0" w:after="0" w:line="210" w:lineRule="exact"/>
        <w:ind w:left="0" w:right="0" w:firstLine="0"/>
      </w:pPr>
      <w:r>
        <w:rPr>
          <w:rStyle w:val="CharStyle4"/>
          <w:b/>
          <w:bCs/>
          <w:spacing w:val="0"/>
        </w:rPr>
        <w:t>ИУЗ 11.</w:t>
      </w:r>
    </w:p>
    <w:p>
      <w:pPr>
        <w:pStyle w:val="Style3"/>
        <w:widowControl w:val="0"/>
        <w:keepNext w:val="0"/>
        <w:keepLines w:val="0"/>
        <w:shd w:val="clear" w:color="auto" w:fill="auto"/>
        <w:bidi w:val="0"/>
        <w:jc w:val="both"/>
        <w:spacing w:before="0" w:after="0" w:line="274" w:lineRule="exact"/>
        <w:ind w:left="80" w:right="0" w:firstLine="0"/>
      </w:pPr>
      <w:r>
        <w:rPr>
          <w:lang w:val="ru-RU" w:eastAsia="ru-RU" w:bidi="ru-RU"/>
          <w:w w:val="100"/>
          <w:spacing w:val="0"/>
          <w:color w:val="000000"/>
          <w:position w:val="0"/>
        </w:rPr>
        <w:t>Срок направления запроса на разъяснение положений</w:t>
      </w:r>
    </w:p>
    <w:p>
      <w:pPr>
        <w:pStyle w:val="Style17"/>
        <w:tabs>
          <w:tab w:leader="underscore" w:pos="10239" w:val="left"/>
        </w:tabs>
        <w:widowControl w:val="0"/>
        <w:keepNext w:val="0"/>
        <w:keepLines w:val="0"/>
        <w:shd w:val="clear" w:color="auto" w:fill="auto"/>
        <w:bidi w:val="0"/>
        <w:spacing w:before="0" w:after="0"/>
        <w:ind w:left="1580" w:right="120" w:firstLine="0"/>
      </w:pPr>
      <w:r>
        <w:rPr>
          <w:lang w:val="ru-RU" w:eastAsia="ru-RU" w:bidi="ru-RU"/>
          <w:w w:val="100"/>
          <w:spacing w:val="0"/>
          <w:color w:val="000000"/>
          <w:position w:val="0"/>
        </w:rPr>
        <w:t xml:space="preserve">Участники закупки могут направить запросы на разъяснение положений документации об электронном аукционе, начиная с "28" сентября 2017 г. и до "07" </w:t>
      </w:r>
      <w:r>
        <w:rPr>
          <w:rStyle w:val="CharStyle19"/>
        </w:rPr>
        <w:t>октября 2017 г.</w:t>
      </w:r>
      <w:r>
        <w:rPr>
          <w:lang w:val="ru-RU" w:eastAsia="ru-RU" w:bidi="ru-RU"/>
          <w:w w:val="100"/>
          <w:spacing w:val="0"/>
          <w:color w:val="000000"/>
          <w:position w:val="0"/>
        </w:rPr>
        <w:tab/>
      </w:r>
    </w:p>
    <w:p>
      <w:pPr>
        <w:pStyle w:val="Style7"/>
        <w:widowControl w:val="0"/>
        <w:keepNext w:val="0"/>
        <w:keepLines w:val="0"/>
        <w:shd w:val="clear" w:color="auto" w:fill="auto"/>
        <w:bidi w:val="0"/>
        <w:jc w:val="both"/>
        <w:spacing w:before="0" w:after="0"/>
        <w:ind w:left="80" w:right="0" w:firstLine="860"/>
      </w:pPr>
      <w:r>
        <w:rPr>
          <w:rStyle w:val="CharStyle20"/>
        </w:rPr>
        <w:t>.»</w:t>
      </w:r>
      <w:r>
        <w:rPr>
          <w:lang w:val="ru-RU" w:eastAsia="ru-RU" w:bidi="ru-RU"/>
          <w:w w:val="100"/>
          <w:spacing w:val="0"/>
          <w:color w:val="000000"/>
          <w:position w:val="0"/>
        </w:rPr>
        <w:t xml:space="preserve"> (цитата документации об Аукционе).</w:t>
      </w:r>
    </w:p>
    <w:p>
      <w:pPr>
        <w:pStyle w:val="Style7"/>
        <w:widowControl w:val="0"/>
        <w:keepNext w:val="0"/>
        <w:keepLines w:val="0"/>
        <w:shd w:val="clear" w:color="auto" w:fill="auto"/>
        <w:bidi w:val="0"/>
        <w:jc w:val="both"/>
        <w:spacing w:before="0" w:after="0"/>
        <w:ind w:left="80" w:right="20" w:firstLine="860"/>
      </w:pPr>
      <w:r>
        <w:rPr>
          <w:lang w:val="ru-RU" w:eastAsia="ru-RU" w:bidi="ru-RU"/>
          <w:w w:val="100"/>
          <w:spacing w:val="0"/>
          <w:color w:val="000000"/>
          <w:position w:val="0"/>
        </w:rPr>
        <w:t>В соответствии с документацией об Аукционе, извещением о проведении Аукциона дата и время окончания срока подачи заявок на участие в Аукционе установлены на 11.10.2017 09:00.</w:t>
      </w:r>
    </w:p>
    <w:p>
      <w:pPr>
        <w:pStyle w:val="Style7"/>
        <w:widowControl w:val="0"/>
        <w:keepNext w:val="0"/>
        <w:keepLines w:val="0"/>
        <w:shd w:val="clear" w:color="auto" w:fill="auto"/>
        <w:bidi w:val="0"/>
        <w:jc w:val="both"/>
        <w:spacing w:before="0" w:after="0"/>
        <w:ind w:left="80" w:right="20" w:firstLine="860"/>
      </w:pPr>
      <w:r>
        <w:rPr>
          <w:lang w:val="ru-RU" w:eastAsia="ru-RU" w:bidi="ru-RU"/>
          <w:w w:val="100"/>
          <w:spacing w:val="0"/>
          <w:color w:val="000000"/>
          <w:position w:val="0"/>
        </w:rPr>
        <w:t>Таким образом, Заказчик в документации об Аукционе не указал соответствующую дату окончания срока предоставления участникам Аукциона разъяснений положений документации об Аукционе, а указал дату срока подачи запроса о предоставлении участникам Аукциона разъяснений положений документации об Аукционе.</w:t>
      </w:r>
    </w:p>
    <w:p>
      <w:pPr>
        <w:pStyle w:val="Style7"/>
        <w:widowControl w:val="0"/>
        <w:keepNext w:val="0"/>
        <w:keepLines w:val="0"/>
        <w:shd w:val="clear" w:color="auto" w:fill="auto"/>
        <w:bidi w:val="0"/>
        <w:jc w:val="both"/>
        <w:spacing w:before="0" w:after="180"/>
        <w:ind w:left="80" w:right="20" w:firstLine="860"/>
      </w:pPr>
      <w:r>
        <w:rPr>
          <w:lang w:val="ru-RU" w:eastAsia="ru-RU" w:bidi="ru-RU"/>
          <w:w w:val="100"/>
          <w:spacing w:val="0"/>
          <w:color w:val="000000"/>
          <w:position w:val="0"/>
        </w:rPr>
        <w:t>Действия Заказчика, не указавшего в документации об Аукционе надлежащую дату окончания срока предоставления участникам Аукциона разъяснений положений документации об Аукционе, нарушают требования пункта 11 части 1 статьи 64 Закона о контрактной системе.</w:t>
      </w:r>
    </w:p>
    <w:p>
      <w:pPr>
        <w:pStyle w:val="Style7"/>
        <w:numPr>
          <w:ilvl w:val="1"/>
          <w:numId w:val="9"/>
        </w:numPr>
        <w:tabs>
          <w:tab w:leader="none" w:pos="1474" w:val="left"/>
        </w:tabs>
        <w:widowControl w:val="0"/>
        <w:keepNext w:val="0"/>
        <w:keepLines w:val="0"/>
        <w:shd w:val="clear" w:color="auto" w:fill="auto"/>
        <w:bidi w:val="0"/>
        <w:jc w:val="both"/>
        <w:spacing w:before="0" w:after="0"/>
        <w:ind w:left="8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w:t>
        <w:br w:type="page"/>
        <w:t>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Согласно пункту 7 части 5 статьи 66 Закона о контрактной системе вторая часть заявки на участие в электронном аукционе должна содержать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pPr>
        <w:pStyle w:val="Style7"/>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В соответствии с частью 3 статьи 30 Закона о контрактной системе при определении поставщиков (подрядчиков, исполнителей) способами, указанными в части 1 статьи 30 Закона о контрактной системе,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21"/>
        <w:framePr w:w="997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3"/>
        </w:rPr>
        <w:t>В извещении о проведении Аукциона Заказчик указал:«...</w:t>
      </w:r>
    </w:p>
    <w:tbl>
      <w:tblPr>
        <w:tblOverlap w:val="never"/>
        <w:tblLayout w:type="fixed"/>
        <w:jc w:val="center"/>
      </w:tblPr>
      <w:tblGrid>
        <w:gridCol w:w="1762"/>
        <w:gridCol w:w="8213"/>
      </w:tblGrid>
      <w:tr>
        <w:trPr>
          <w:trHeight w:val="379" w:hRule="exact"/>
        </w:trPr>
        <w:tc>
          <w:tcPr>
            <w:shd w:val="clear" w:color="auto" w:fill="FFFFFF"/>
            <w:gridSpan w:val="2"/>
            <w:tcBorders>
              <w:left w:val="single" w:sz="4"/>
              <w:right w:val="single" w:sz="4"/>
              <w:top w:val="single" w:sz="4"/>
            </w:tcBorders>
            <w:vAlign w:val="bottom"/>
          </w:tcPr>
          <w:p>
            <w:pPr>
              <w:pStyle w:val="Style7"/>
              <w:framePr w:w="9974"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4"/>
              </w:rPr>
              <w:t>Преимущества и требования к участникам</w:t>
            </w:r>
          </w:p>
        </w:tc>
      </w:tr>
      <w:tr>
        <w:trPr>
          <w:trHeight w:val="1886" w:hRule="exact"/>
        </w:trPr>
        <w:tc>
          <w:tcPr>
            <w:shd w:val="clear" w:color="auto" w:fill="FFFFFF"/>
            <w:tcBorders>
              <w:left w:val="single" w:sz="4"/>
              <w:top w:val="single" w:sz="4"/>
              <w:bottom w:val="single" w:sz="4"/>
            </w:tcBorders>
            <w:vAlign w:val="center"/>
          </w:tcPr>
          <w:p>
            <w:pPr>
              <w:pStyle w:val="Style7"/>
              <w:framePr w:w="9974" w:wrap="notBeside" w:vAnchor="text" w:hAnchor="text" w:xAlign="center" w:y="1"/>
              <w:widowControl w:val="0"/>
              <w:keepNext w:val="0"/>
              <w:keepLines w:val="0"/>
              <w:shd w:val="clear" w:color="auto" w:fill="auto"/>
              <w:bidi w:val="0"/>
              <w:jc w:val="both"/>
              <w:spacing w:before="0" w:after="0" w:line="283" w:lineRule="exact"/>
              <w:ind w:left="0" w:right="0" w:firstLine="0"/>
            </w:pPr>
            <w:r>
              <w:rPr>
                <w:rStyle w:val="CharStyle25"/>
              </w:rPr>
              <w:t>Ограничения и запреты</w:t>
            </w:r>
          </w:p>
        </w:tc>
        <w:tc>
          <w:tcPr>
            <w:shd w:val="clear" w:color="auto" w:fill="FFFFFF"/>
            <w:tcBorders>
              <w:left w:val="single" w:sz="4"/>
              <w:right w:val="single" w:sz="4"/>
              <w:top w:val="single" w:sz="4"/>
              <w:bottom w:val="single" w:sz="4"/>
            </w:tcBorders>
            <w:vAlign w:val="top"/>
          </w:tcPr>
          <w:p>
            <w:pPr>
              <w:pStyle w:val="Style7"/>
              <w:framePr w:w="9974" w:wrap="notBeside" w:vAnchor="text" w:hAnchor="text" w:xAlign="center" w:y="1"/>
              <w:widowControl w:val="0"/>
              <w:keepNext w:val="0"/>
              <w:keepLines w:val="0"/>
              <w:shd w:val="clear" w:color="auto" w:fill="auto"/>
              <w:bidi w:val="0"/>
              <w:jc w:val="left"/>
              <w:spacing w:before="0" w:after="240" w:line="274" w:lineRule="exact"/>
              <w:ind w:left="60" w:right="0" w:firstLine="0"/>
            </w:pPr>
            <w:r>
              <w:rPr>
                <w:rStyle w:val="CharStyle25"/>
              </w:rPr>
              <w:t>1 Закупка у субъектов малого предпринимательства и социально ориентированных некоммерческих организаций</w:t>
            </w:r>
          </w:p>
          <w:p>
            <w:pPr>
              <w:pStyle w:val="Style7"/>
              <w:framePr w:w="9974" w:wrap="notBeside" w:vAnchor="text" w:hAnchor="text" w:xAlign="center" w:y="1"/>
              <w:widowControl w:val="0"/>
              <w:keepNext w:val="0"/>
              <w:keepLines w:val="0"/>
              <w:shd w:val="clear" w:color="auto" w:fill="auto"/>
              <w:bidi w:val="0"/>
              <w:jc w:val="left"/>
              <w:spacing w:before="240" w:after="0" w:line="269" w:lineRule="exact"/>
              <w:ind w:left="60" w:right="0" w:firstLine="0"/>
            </w:pPr>
            <w:r>
              <w:rPr>
                <w:rStyle w:val="CharStyle25"/>
              </w:rPr>
              <w:t>К участию в закупке допускаются только субъекты малого предпринимательства и социально ориентированные некоммерческие организации</w:t>
            </w:r>
          </w:p>
        </w:tc>
      </w:tr>
    </w:tbl>
    <w:p>
      <w:pPr>
        <w:widowControl w:val="0"/>
        <w:rPr>
          <w:sz w:val="2"/>
          <w:szCs w:val="2"/>
        </w:rPr>
      </w:pPr>
    </w:p>
    <w:tbl>
      <w:tblPr>
        <w:tblOverlap w:val="never"/>
        <w:tblLayout w:type="fixed"/>
        <w:jc w:val="center"/>
      </w:tblPr>
      <w:tblGrid>
        <w:gridCol w:w="1488"/>
        <w:gridCol w:w="8837"/>
      </w:tblGrid>
      <w:tr>
        <w:trPr>
          <w:trHeight w:val="701" w:hRule="exact"/>
        </w:trPr>
        <w:tc>
          <w:tcPr>
            <w:shd w:val="clear" w:color="auto" w:fill="FFFFFF"/>
            <w:gridSpan w:val="2"/>
            <w:tcBorders>
              <w:top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60" w:line="260" w:lineRule="exact"/>
              <w:ind w:left="980" w:right="0" w:firstLine="0"/>
            </w:pPr>
            <w:r>
              <w:rPr>
                <w:rStyle w:val="CharStyle26"/>
              </w:rPr>
              <w:t>...»</w:t>
            </w:r>
            <w:r>
              <w:rPr>
                <w:rStyle w:val="CharStyle27"/>
              </w:rPr>
              <w:t xml:space="preserve"> (цитата извещения о проведении Аукциона).</w:t>
            </w:r>
          </w:p>
          <w:p>
            <w:pPr>
              <w:pStyle w:val="Style7"/>
              <w:framePr w:w="10325" w:wrap="notBeside" w:vAnchor="text" w:hAnchor="text" w:xAlign="center" w:y="1"/>
              <w:widowControl w:val="0"/>
              <w:keepNext w:val="0"/>
              <w:keepLines w:val="0"/>
              <w:shd w:val="clear" w:color="auto" w:fill="auto"/>
              <w:bidi w:val="0"/>
              <w:jc w:val="left"/>
              <w:spacing w:before="60" w:after="0" w:line="260" w:lineRule="exact"/>
              <w:ind w:left="980" w:right="0" w:firstLine="0"/>
            </w:pPr>
            <w:r>
              <w:rPr>
                <w:rStyle w:val="CharStyle27"/>
              </w:rPr>
              <w:t>При этом в документации об Аукционе Заказчик установил: «.</w:t>
            </w:r>
          </w:p>
        </w:tc>
      </w:tr>
      <w:tr>
        <w:trPr>
          <w:trHeight w:val="3322" w:hRule="exact"/>
        </w:trPr>
        <w:tc>
          <w:tcPr>
            <w:shd w:val="clear" w:color="auto" w:fill="FFFFFF"/>
            <w:tcBorders>
              <w:left w:val="single" w:sz="4"/>
              <w:top w:val="single" w:sz="4"/>
              <w:bottom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4"/>
              </w:rPr>
              <w:t>ИУЗ 14.</w:t>
            </w:r>
          </w:p>
        </w:tc>
        <w:tc>
          <w:tcPr>
            <w:shd w:val="clear" w:color="auto" w:fill="FFFFFF"/>
            <w:tcBorders>
              <w:left w:val="single" w:sz="4"/>
              <w:right w:val="single" w:sz="4"/>
              <w:top w:val="single" w:sz="4"/>
              <w:bottom w:val="single" w:sz="4"/>
            </w:tcBorders>
            <w:vAlign w:val="top"/>
          </w:tcPr>
          <w:p>
            <w:pPr>
              <w:pStyle w:val="Style7"/>
              <w:framePr w:w="10325" w:wrap="notBeside" w:vAnchor="text" w:hAnchor="text" w:xAlign="center" w:y="1"/>
              <w:widowControl w:val="0"/>
              <w:keepNext w:val="0"/>
              <w:keepLines w:val="0"/>
              <w:shd w:val="clear" w:color="auto" w:fill="auto"/>
              <w:bidi w:val="0"/>
              <w:jc w:val="both"/>
              <w:spacing w:before="0" w:after="240" w:line="283" w:lineRule="exact"/>
              <w:ind w:left="0" w:right="0" w:firstLine="0"/>
            </w:pPr>
            <w:r>
              <w:rPr>
                <w:rStyle w:val="CharStyle24"/>
              </w:rPr>
              <w:t>Сведения и документы, входящие в состав заявки на участие в электронном аукционе:</w:t>
            </w:r>
          </w:p>
          <w:p>
            <w:pPr>
              <w:pStyle w:val="Style7"/>
              <w:framePr w:w="10325" w:wrap="notBeside" w:vAnchor="text" w:hAnchor="text" w:xAlign="center" w:y="1"/>
              <w:widowControl w:val="0"/>
              <w:keepNext w:val="0"/>
              <w:keepLines w:val="0"/>
              <w:shd w:val="clear" w:color="auto" w:fill="auto"/>
              <w:bidi w:val="0"/>
              <w:jc w:val="left"/>
              <w:spacing w:before="240" w:after="240" w:line="278" w:lineRule="exact"/>
              <w:ind w:left="120" w:right="0" w:firstLine="0"/>
            </w:pPr>
            <w:r>
              <w:rPr>
                <w:rStyle w:val="CharStyle25"/>
              </w:rPr>
              <w:t>Вторая часть заявки на участие в электронном аукционе должна содержать следующие документы и информацию:</w:t>
            </w:r>
          </w:p>
          <w:p>
            <w:pPr>
              <w:pStyle w:val="Style7"/>
              <w:framePr w:w="10325" w:wrap="notBeside" w:vAnchor="text" w:hAnchor="text" w:xAlign="center" w:y="1"/>
              <w:widowControl w:val="0"/>
              <w:keepNext w:val="0"/>
              <w:keepLines w:val="0"/>
              <w:shd w:val="clear" w:color="auto" w:fill="auto"/>
              <w:bidi w:val="0"/>
              <w:jc w:val="left"/>
              <w:spacing w:before="240" w:after="0" w:line="274" w:lineRule="exact"/>
              <w:ind w:left="120" w:right="0" w:firstLine="0"/>
            </w:pPr>
            <w:r>
              <w:rPr>
                <w:rStyle w:val="CharStyle25"/>
              </w:rPr>
              <w:t xml:space="preserve">7. декларация о принадлежности участника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 3 ст. 30 Федерального закона от 05.04.2013 г. </w:t>
            </w:r>
            <w:r>
              <w:rPr>
                <w:rStyle w:val="CharStyle25"/>
                <w:lang w:val="en-US" w:eastAsia="en-US" w:bidi="en-US"/>
              </w:rPr>
              <w:t xml:space="preserve">N </w:t>
            </w:r>
            <w:r>
              <w:rPr>
                <w:rStyle w:val="CharStyle25"/>
              </w:rPr>
              <w:t xml:space="preserve">44-ФЗ - </w:t>
            </w:r>
            <w:r>
              <w:rPr>
                <w:rStyle w:val="CharStyle24"/>
              </w:rPr>
              <w:t>данное требование не установлено</w:t>
            </w:r>
            <w:r>
              <w:rPr>
                <w:rStyle w:val="CharStyle25"/>
              </w:rPr>
              <w:t>.</w:t>
            </w:r>
          </w:p>
        </w:tc>
      </w:tr>
    </w:tbl>
    <w:p>
      <w:pPr>
        <w:pStyle w:val="Style21"/>
        <w:framePr w:w="10325"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документации об Аукционе).</w:t>
      </w:r>
    </w:p>
    <w:p>
      <w:pPr>
        <w:widowControl w:val="0"/>
        <w:rPr>
          <w:sz w:val="2"/>
          <w:szCs w:val="2"/>
        </w:rPr>
      </w:pPr>
    </w:p>
    <w:p>
      <w:pPr>
        <w:pStyle w:val="Style7"/>
        <w:widowControl w:val="0"/>
        <w:keepNext w:val="0"/>
        <w:keepLines w:val="0"/>
        <w:shd w:val="clear" w:color="auto" w:fill="auto"/>
        <w:bidi w:val="0"/>
        <w:jc w:val="both"/>
        <w:spacing w:before="0" w:after="0"/>
        <w:ind w:left="120" w:right="20" w:firstLine="860"/>
      </w:pPr>
      <w:r>
        <w:rPr>
          <w:lang w:val="ru-RU" w:eastAsia="ru-RU" w:bidi="ru-RU"/>
          <w:w w:val="100"/>
          <w:spacing w:val="0"/>
          <w:color w:val="000000"/>
          <w:position w:val="0"/>
        </w:rPr>
        <w:t>На основании изложенного, Комиссия приходит к выводу, что данные действия Заказчика, не установившем в документации об Аукционе требования ко</w:t>
      </w:r>
    </w:p>
    <w:p>
      <w:pPr>
        <w:pStyle w:val="Style7"/>
        <w:widowControl w:val="0"/>
        <w:keepNext w:val="0"/>
        <w:keepLines w:val="0"/>
        <w:shd w:val="clear" w:color="auto" w:fill="auto"/>
        <w:bidi w:val="0"/>
        <w:jc w:val="both"/>
        <w:spacing w:before="0" w:after="180"/>
        <w:ind w:left="20" w:right="20" w:firstLine="0"/>
      </w:pPr>
      <w:r>
        <w:rPr>
          <w:lang w:val="ru-RU" w:eastAsia="ru-RU" w:bidi="ru-RU"/>
          <w:w w:val="100"/>
          <w:spacing w:val="0"/>
          <w:color w:val="000000"/>
          <w:position w:val="0"/>
        </w:rPr>
        <w:t>вторым частям заявок участников Аукциона, нарушают требования пункта 2 части 1 статьи 64, пункта 7 части 5 статьи 66 Закона о контрактной системе.</w:t>
      </w:r>
    </w:p>
    <w:p>
      <w:pPr>
        <w:pStyle w:val="Style7"/>
        <w:numPr>
          <w:ilvl w:val="1"/>
          <w:numId w:val="9"/>
        </w:numPr>
        <w:tabs>
          <w:tab w:leader="none" w:pos="1264"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извещение, документацию о проведении закупок, условия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подлежат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Изучив проект контракта, Комиссия не установила наличия в нем сроков осуществления Заказчиком приемки товара и сроков оформления результатов приемки поставленного товара, в части соответствия их количества, комплектности, объема требованиям, установленным контрактом.</w:t>
      </w:r>
    </w:p>
    <w:p>
      <w:pPr>
        <w:pStyle w:val="Style7"/>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Данное бездействие Заказчика, выразившееся в не указании в проекте контракта сроков приемки и оформления результатов приемки поставленного товара, нарушает требования части 13 статьи 34 Закона о контрактной системе.</w:t>
      </w:r>
    </w:p>
    <w:p>
      <w:pPr>
        <w:pStyle w:val="Style7"/>
        <w:numPr>
          <w:ilvl w:val="1"/>
          <w:numId w:val="9"/>
        </w:numPr>
        <w:tabs>
          <w:tab w:leader="none" w:pos="141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tabs>
          <w:tab w:leader="none" w:pos="6083" w:val="right"/>
          <w:tab w:leader="none" w:pos="9113" w:val="right"/>
          <w:tab w:leader="none" w:pos="10209"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w:t>
        <w:tab/>
        <w:t>документация</w:t>
        <w:tab/>
        <w:t>о закупке,</w:t>
        <w:tab/>
        <w:t>заявка,</w:t>
      </w:r>
    </w:p>
    <w:p>
      <w:pPr>
        <w:pStyle w:val="Style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tabs>
          <w:tab w:leader="none" w:pos="4431" w:val="left"/>
          <w:tab w:leader="none" w:pos="6083" w:val="right"/>
          <w:tab w:leader="none" w:pos="7388" w:val="right"/>
          <w:tab w:leader="none" w:pos="9113" w:val="right"/>
          <w:tab w:leader="none" w:pos="10209"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При этом частями 5, 7,</w:t>
        <w:tab/>
        <w:t>8 статьи</w:t>
        <w:tab/>
        <w:t>34</w:t>
        <w:tab/>
        <w:t>Закона о</w:t>
        <w:tab/>
        <w:t>контрактной</w:t>
        <w:tab/>
        <w:t>системе</w:t>
      </w:r>
    </w:p>
    <w:p>
      <w:pPr>
        <w:pStyle w:val="Style7"/>
        <w:tabs>
          <w:tab w:leader="none" w:pos="4431" w:val="left"/>
          <w:tab w:leader="none" w:pos="7388" w:val="right"/>
          <w:tab w:leader="none" w:pos="9113" w:val="right"/>
          <w:tab w:leader="none" w:pos="10209"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установлено, что заказчик обязан</w:t>
        <w:tab/>
        <w:t>установить в</w:t>
        <w:tab/>
        <w:t>контракте</w:t>
        <w:tab/>
        <w:t>размер пени</w:t>
        <w:tab/>
        <w:t>в случае</w:t>
      </w:r>
    </w:p>
    <w:p>
      <w:pPr>
        <w:pStyle w:val="Style7"/>
        <w:tabs>
          <w:tab w:leader="none" w:pos="4431" w:val="left"/>
          <w:tab w:leader="none" w:pos="7388" w:val="right"/>
          <w:tab w:leader="none" w:pos="7383" w:val="right"/>
          <w:tab w:leader="none" w:pos="10209"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w:t>
        <w:tab/>
        <w:t>контракту,</w:t>
        <w:tab/>
        <w:t>а</w:t>
        <w:tab/>
        <w:t>также размер штрафа</w:t>
        <w:tab/>
        <w:t>в виде</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№1042 (далее - Правила №1042), вступившее в силу 09.09.2017.</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проект контракта, установила, что в Заказчик при изложении ответственности сторон руководствовался Правилами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25.11.2013 №1063, утратив</w:t>
      </w:r>
      <w:r>
        <w:rPr>
          <w:rStyle w:val="CharStyle13"/>
        </w:rPr>
        <w:t>ши</w:t>
      </w:r>
      <w:r>
        <w:rPr>
          <w:lang w:val="ru-RU" w:eastAsia="ru-RU" w:bidi="ru-RU"/>
          <w:w w:val="100"/>
          <w:spacing w:val="0"/>
          <w:color w:val="000000"/>
          <w:position w:val="0"/>
        </w:rPr>
        <w:t>ми силу 08.09.2017.</w:t>
      </w:r>
    </w:p>
    <w:p>
      <w:pPr>
        <w:pStyle w:val="Style7"/>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Указанные действия Заказчика, не установившем в проекте контракта надлежащее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нарушают части 5, 7, 8 статьи 34 Закона о контрактной системе, Правила №1042.</w:t>
      </w:r>
    </w:p>
    <w:p>
      <w:pPr>
        <w:pStyle w:val="Style7"/>
        <w:numPr>
          <w:ilvl w:val="1"/>
          <w:numId w:val="9"/>
        </w:numPr>
        <w:tabs>
          <w:tab w:leader="none" w:pos="141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1 статьи 96 Закона о контрактной системе заказчиком в извещении об осуществлении закупки, документации о закупке, проекте контракта должно быть установлено требование обеспечения исполнения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96 Закона о контрактной системе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настоящего Федерального закона.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Требования к обеспечению исполнения контракта Заказчик в проекте контракта изложил следующим образом: «...</w:t>
      </w:r>
    </w:p>
    <w:p>
      <w:pPr>
        <w:pStyle w:val="Style3"/>
        <w:widowControl w:val="0"/>
        <w:keepNext w:val="0"/>
        <w:keepLines w:val="0"/>
        <w:shd w:val="clear" w:color="auto" w:fill="auto"/>
        <w:bidi w:val="0"/>
        <w:spacing w:before="0" w:after="201" w:line="220" w:lineRule="exact"/>
        <w:ind w:left="0" w:right="300" w:firstLine="0"/>
      </w:pPr>
      <w:r>
        <w:rPr>
          <w:lang w:val="ru-RU" w:eastAsia="ru-RU" w:bidi="ru-RU"/>
          <w:w w:val="100"/>
          <w:spacing w:val="0"/>
          <w:color w:val="000000"/>
          <w:position w:val="0"/>
        </w:rPr>
        <w:t>10. Обеспечение исполнения контракта</w:t>
      </w:r>
    </w:p>
    <w:p>
      <w:pPr>
        <w:pStyle w:val="Style17"/>
        <w:numPr>
          <w:ilvl w:val="0"/>
          <w:numId w:val="11"/>
        </w:numPr>
        <w:widowControl w:val="0"/>
        <w:keepNext w:val="0"/>
        <w:keepLines w:val="0"/>
        <w:shd w:val="clear" w:color="auto" w:fill="auto"/>
        <w:bidi w:val="0"/>
        <w:spacing w:before="0" w:after="0" w:line="278" w:lineRule="exact"/>
        <w:ind w:left="20" w:right="20" w:firstLine="300"/>
      </w:pPr>
      <w:r>
        <w:rPr>
          <w:lang w:val="ru-RU" w:eastAsia="ru-RU" w:bidi="ru-RU"/>
          <w:w w:val="100"/>
          <w:spacing w:val="0"/>
          <w:color w:val="000000"/>
          <w:position w:val="0"/>
        </w:rPr>
        <w:t xml:space="preserve"> Настоящий Контракт заключен после предоставления Поставщиком Заказчику обеспечения настоящего Контракта в форме безотзывной банковской гарантии/перечисления Поставщиком на счет Заказчика обеспечения настоящего Контракта денежных средств в размере:</w:t>
      </w:r>
    </w:p>
    <w:p>
      <w:pPr>
        <w:pStyle w:val="Style28"/>
        <w:widowControl w:val="0"/>
        <w:keepNext/>
        <w:keepLines/>
        <w:shd w:val="clear" w:color="auto" w:fill="auto"/>
        <w:bidi w:val="0"/>
        <w:spacing w:before="0" w:after="0" w:line="220" w:lineRule="exact"/>
        <w:ind w:left="1020" w:right="0" w:firstLine="0"/>
      </w:pPr>
      <w:bookmarkStart w:id="0" w:name="bookmark0"/>
      <w:r>
        <w:rPr>
          <w:rStyle w:val="CharStyle30"/>
        </w:rPr>
        <w:t>, „ ,</w:t>
      </w:r>
      <w:r>
        <w:rPr>
          <w:rStyle w:val="CharStyle31"/>
        </w:rPr>
        <w:t xml:space="preserve"> </w:t>
      </w:r>
      <w:r>
        <w:rPr>
          <w:lang w:val="ru-RU" w:eastAsia="ru-RU" w:bidi="ru-RU"/>
          <w:w w:val="100"/>
          <w:spacing w:val="0"/>
          <w:color w:val="000000"/>
          <w:position w:val="0"/>
        </w:rPr>
        <w:t xml:space="preserve"> , , ),</w:t>
      </w:r>
      <w:bookmarkEnd w:id="0"/>
    </w:p>
    <w:p>
      <w:pPr>
        <w:pStyle w:val="Style32"/>
        <w:tabs>
          <w:tab w:leader="none" w:pos="5873" w:val="left"/>
        </w:tabs>
        <w:widowControl w:val="0"/>
        <w:keepNext w:val="0"/>
        <w:keepLines w:val="0"/>
        <w:shd w:val="clear" w:color="auto" w:fill="auto"/>
        <w:bidi w:val="0"/>
        <w:spacing w:before="0" w:after="335" w:line="150" w:lineRule="exact"/>
        <w:ind w:left="1020" w:right="0" w:firstLine="0"/>
      </w:pPr>
      <w:r>
        <w:rPr>
          <w:lang w:val="ru-RU" w:eastAsia="ru-RU" w:bidi="ru-RU"/>
          <w:w w:val="100"/>
          <w:spacing w:val="0"/>
          <w:color w:val="000000"/>
          <w:position w:val="0"/>
        </w:rPr>
        <w:t>(сумма цифрами)</w:t>
        <w:tab/>
        <w:t>(сумма прописью)</w:t>
      </w:r>
    </w:p>
    <w:p>
      <w:pPr>
        <w:pStyle w:val="Style34"/>
        <w:numPr>
          <w:ilvl w:val="0"/>
          <w:numId w:val="11"/>
        </w:numPr>
        <w:widowControl w:val="0"/>
        <w:keepNext w:val="0"/>
        <w:keepLines w:val="0"/>
        <w:shd w:val="clear" w:color="auto" w:fill="auto"/>
        <w:bidi w:val="0"/>
        <w:spacing w:before="0" w:after="184"/>
        <w:ind w:left="20" w:right="20"/>
      </w:pPr>
      <w:r>
        <w:rPr>
          <w:rStyle w:val="CharStyle36"/>
          <w:i w:val="0"/>
          <w:iCs w:val="0"/>
        </w:rPr>
        <w:t xml:space="preserve"> </w:t>
      </w:r>
      <w:r>
        <w:rPr>
          <w:lang w:val="ru-RU" w:eastAsia="ru-RU" w:bidi="ru-RU"/>
          <w:w w:val="100"/>
          <w:spacing w:val="0"/>
          <w:color w:val="000000"/>
          <w:position w:val="0"/>
        </w:rPr>
        <w:t>(пункт об антидемпинговых мерах для случаев, когда начальная (максимальная) цена контракта составляет более чем пятнадцать миллионов рублей)</w:t>
      </w:r>
    </w:p>
    <w:p>
      <w:pPr>
        <w:pStyle w:val="Style17"/>
        <w:widowControl w:val="0"/>
        <w:keepNext w:val="0"/>
        <w:keepLines w:val="0"/>
        <w:shd w:val="clear" w:color="auto" w:fill="auto"/>
        <w:bidi w:val="0"/>
        <w:spacing w:before="0" w:after="0"/>
        <w:ind w:left="20" w:right="20" w:firstLine="300"/>
      </w:pPr>
      <w:r>
        <w:rPr>
          <w:lang w:val="ru-RU" w:eastAsia="ru-RU" w:bidi="ru-RU"/>
          <w:w w:val="100"/>
          <w:spacing w:val="0"/>
          <w:color w:val="000000"/>
          <w:position w:val="0"/>
        </w:rPr>
        <w:t>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w:t>
      </w:r>
    </w:p>
    <w:p>
      <w:pPr>
        <w:pStyle w:val="Style17"/>
        <w:numPr>
          <w:ilvl w:val="0"/>
          <w:numId w:val="13"/>
        </w:numPr>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 xml:space="preserve"> настоящего Контракта, что составляет</w:t>
      </w:r>
    </w:p>
    <w:p>
      <w:pPr>
        <w:pStyle w:val="Style28"/>
        <w:tabs>
          <w:tab w:leader="none" w:pos="1730" w:val="center"/>
          <w:tab w:leader="none" w:pos="2225" w:val="right"/>
          <w:tab w:leader="underscore" w:pos="7130" w:val="center"/>
        </w:tabs>
        <w:widowControl w:val="0"/>
        <w:keepNext/>
        <w:keepLines/>
        <w:shd w:val="clear" w:color="auto" w:fill="auto"/>
        <w:bidi w:val="0"/>
        <w:spacing w:before="0" w:after="0" w:line="240" w:lineRule="exact"/>
        <w:ind w:left="1020" w:right="0" w:firstLine="0"/>
      </w:pPr>
      <w:bookmarkStart w:id="1" w:name="bookmark1"/>
      <w:r>
        <w:rPr>
          <w:rStyle w:val="CharStyle37"/>
        </w:rPr>
        <w:t>,</w:t>
        <w:tab/>
        <w:t>_</w:t>
        <w:tab/>
        <w:t>,</w:t>
      </w:r>
      <w:r>
        <w:rPr>
          <w:rStyle w:val="CharStyle38"/>
        </w:rPr>
        <w:t xml:space="preserve"> </w:t>
      </w:r>
      <w:r>
        <w:rPr>
          <w:lang w:val="ru-RU" w:eastAsia="ru-RU" w:bidi="ru-RU"/>
          <w:w w:val="100"/>
          <w:spacing w:val="0"/>
          <w:color w:val="000000"/>
          <w:position w:val="0"/>
        </w:rPr>
        <w:t xml:space="preserve"> ,</w:t>
        <w:tab/>
        <w:t>, ),</w:t>
      </w:r>
      <w:bookmarkEnd w:id="1"/>
    </w:p>
    <w:p>
      <w:pPr>
        <w:pStyle w:val="Style32"/>
        <w:tabs>
          <w:tab w:leader="none" w:pos="5873" w:val="left"/>
        </w:tabs>
        <w:widowControl w:val="0"/>
        <w:keepNext w:val="0"/>
        <w:keepLines w:val="0"/>
        <w:shd w:val="clear" w:color="auto" w:fill="auto"/>
        <w:bidi w:val="0"/>
        <w:spacing w:before="0" w:after="95" w:line="150" w:lineRule="exact"/>
        <w:ind w:left="1020" w:right="0" w:firstLine="0"/>
      </w:pPr>
      <w:r>
        <w:rPr>
          <w:lang w:val="ru-RU" w:eastAsia="ru-RU" w:bidi="ru-RU"/>
          <w:w w:val="100"/>
          <w:spacing w:val="0"/>
          <w:color w:val="000000"/>
          <w:position w:val="0"/>
        </w:rPr>
        <w:t>(сумма цифрами)</w:t>
        <w:tab/>
        <w:t>(сумма прописью)</w:t>
      </w:r>
    </w:p>
    <w:p>
      <w:pPr>
        <w:pStyle w:val="Style34"/>
        <w:widowControl w:val="0"/>
        <w:keepNext w:val="0"/>
        <w:keepLines w:val="0"/>
        <w:shd w:val="clear" w:color="auto" w:fill="auto"/>
        <w:bidi w:val="0"/>
        <w:spacing w:before="0" w:after="184"/>
        <w:ind w:left="20" w:right="20"/>
      </w:pPr>
      <w:r>
        <w:rPr>
          <w:lang w:val="ru-RU" w:eastAsia="ru-RU" w:bidi="ru-RU"/>
          <w:w w:val="100"/>
          <w:spacing w:val="0"/>
          <w:color w:val="000000"/>
          <w:position w:val="0"/>
        </w:rPr>
        <w:t>(пункт об антидемпинговых мерах для случаев, когда начальная (максимальная) цена контракта составляет пятнадцать миллионов рублей и менее)</w:t>
      </w:r>
    </w:p>
    <w:p>
      <w:pPr>
        <w:pStyle w:val="Style17"/>
        <w:widowControl w:val="0"/>
        <w:keepNext w:val="0"/>
        <w:keepLines w:val="0"/>
        <w:shd w:val="clear" w:color="auto" w:fill="auto"/>
        <w:bidi w:val="0"/>
        <w:spacing w:before="0" w:after="0"/>
        <w:ind w:left="20" w:right="20" w:firstLine="300"/>
      </w:pPr>
      <w:r>
        <w:rPr>
          <w:lang w:val="ru-RU" w:eastAsia="ru-RU" w:bidi="ru-RU"/>
          <w:w w:val="100"/>
          <w:spacing w:val="0"/>
          <w:color w:val="000000"/>
          <w:position w:val="0"/>
        </w:rPr>
        <w:t>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w:t>
      </w:r>
    </w:p>
    <w:p>
      <w:pPr>
        <w:pStyle w:val="Style17"/>
        <w:numPr>
          <w:ilvl w:val="0"/>
          <w:numId w:val="15"/>
        </w:numPr>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 xml:space="preserve"> настоящего Контракта, что составляет</w:t>
      </w:r>
    </w:p>
    <w:p>
      <w:pPr>
        <w:pStyle w:val="Style28"/>
        <w:tabs>
          <w:tab w:leader="none" w:pos="1730" w:val="center"/>
          <w:tab w:leader="none" w:pos="2225" w:val="right"/>
          <w:tab w:leader="underscore" w:pos="7130" w:val="center"/>
        </w:tabs>
        <w:widowControl w:val="0"/>
        <w:keepNext/>
        <w:keepLines/>
        <w:shd w:val="clear" w:color="auto" w:fill="auto"/>
        <w:bidi w:val="0"/>
        <w:spacing w:before="0" w:after="0" w:line="240" w:lineRule="exact"/>
        <w:ind w:left="1020" w:right="0" w:firstLine="0"/>
      </w:pPr>
      <w:bookmarkStart w:id="2" w:name="bookmark2"/>
      <w:r>
        <w:rPr>
          <w:rStyle w:val="CharStyle37"/>
        </w:rPr>
        <w:t>,</w:t>
        <w:tab/>
        <w:t>_</w:t>
        <w:tab/>
        <w:t>,</w:t>
      </w:r>
      <w:r>
        <w:rPr>
          <w:rStyle w:val="CharStyle38"/>
        </w:rPr>
        <w:t xml:space="preserve"> </w:t>
      </w:r>
      <w:r>
        <w:rPr>
          <w:lang w:val="ru-RU" w:eastAsia="ru-RU" w:bidi="ru-RU"/>
          <w:w w:val="100"/>
          <w:spacing w:val="0"/>
          <w:color w:val="000000"/>
          <w:position w:val="0"/>
        </w:rPr>
        <w:t xml:space="preserve"> ,</w:t>
        <w:tab/>
        <w:t>, ),</w:t>
      </w:r>
      <w:bookmarkEnd w:id="2"/>
    </w:p>
    <w:p>
      <w:pPr>
        <w:pStyle w:val="Style32"/>
        <w:tabs>
          <w:tab w:leader="none" w:pos="5873" w:val="left"/>
        </w:tabs>
        <w:widowControl w:val="0"/>
        <w:keepNext w:val="0"/>
        <w:keepLines w:val="0"/>
        <w:shd w:val="clear" w:color="auto" w:fill="auto"/>
        <w:bidi w:val="0"/>
        <w:spacing w:before="0" w:after="95" w:line="150" w:lineRule="exact"/>
        <w:ind w:left="1020" w:right="0" w:firstLine="0"/>
      </w:pPr>
      <w:r>
        <w:rPr>
          <w:lang w:val="ru-RU" w:eastAsia="ru-RU" w:bidi="ru-RU"/>
          <w:w w:val="100"/>
          <w:spacing w:val="0"/>
          <w:color w:val="000000"/>
          <w:position w:val="0"/>
        </w:rPr>
        <w:t>(сумма цифрами)</w:t>
        <w:tab/>
        <w:t>(сумма прописью)</w:t>
      </w:r>
    </w:p>
    <w:p>
      <w:pPr>
        <w:pStyle w:val="Style17"/>
        <w:widowControl w:val="0"/>
        <w:keepNext w:val="0"/>
        <w:keepLines w:val="0"/>
        <w:shd w:val="clear" w:color="auto" w:fill="auto"/>
        <w:bidi w:val="0"/>
        <w:spacing w:before="0" w:after="184" w:line="278" w:lineRule="exact"/>
        <w:ind w:left="20" w:right="20" w:firstLine="0"/>
      </w:pPr>
      <w:r>
        <w:rPr>
          <w:lang w:val="ru-RU" w:eastAsia="ru-RU" w:bidi="ru-RU"/>
          <w:w w:val="100"/>
          <w:spacing w:val="0"/>
          <w:color w:val="000000"/>
          <w:position w:val="0"/>
        </w:rPr>
        <w:t>или информации, подтверждающей добросовестность такого участника на дату подачи заявки в соответствии с п. 10.3 настоящего Контракта.</w:t>
      </w:r>
    </w:p>
    <w:p>
      <w:pPr>
        <w:pStyle w:val="Style17"/>
        <w:numPr>
          <w:ilvl w:val="0"/>
          <w:numId w:val="11"/>
        </w:numPr>
        <w:widowControl w:val="0"/>
        <w:keepNext w:val="0"/>
        <w:keepLines w:val="0"/>
        <w:shd w:val="clear" w:color="auto" w:fill="auto"/>
        <w:bidi w:val="0"/>
        <w:spacing w:before="0" w:after="0"/>
        <w:ind w:left="20" w:right="20" w:firstLine="300"/>
      </w:pPr>
      <w:r>
        <w:rPr>
          <w:lang w:val="ru-RU" w:eastAsia="ru-RU" w:bidi="ru-RU"/>
          <w:w w:val="100"/>
          <w:spacing w:val="0"/>
          <w:color w:val="000000"/>
          <w:position w:val="0"/>
        </w:rPr>
        <w:t xml:space="preserve">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электронном аукционе четырех и более контрактов (при этом не менее чем семьдесят пять процентов контрактов должны быть исполнены без применения к такому</w:t>
      </w:r>
    </w:p>
    <w:p>
      <w:pPr>
        <w:pStyle w:val="Style17"/>
        <w:widowControl w:val="0"/>
        <w:keepNext w:val="0"/>
        <w:keepLines w:val="0"/>
        <w:shd w:val="clear" w:color="auto" w:fill="auto"/>
        <w:bidi w:val="0"/>
        <w:spacing w:before="0" w:after="240"/>
        <w:ind w:left="120" w:right="40" w:firstLine="0"/>
      </w:pPr>
      <w:r>
        <w:rPr>
          <w:lang w:val="ru-RU" w:eastAsia="ru-RU" w:bidi="ru-RU"/>
          <w:w w:val="100"/>
          <w:spacing w:val="0"/>
          <w:color w:val="000000"/>
          <w:position w:val="0"/>
        </w:rPr>
        <w:t>участнику неустоек (штрафов, пеней), либо в течение трех лет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настоящий Контракт.</w:t>
      </w:r>
    </w:p>
    <w:p>
      <w:pPr>
        <w:pStyle w:val="Style17"/>
        <w:numPr>
          <w:ilvl w:val="0"/>
          <w:numId w:val="11"/>
        </w:numPr>
        <w:widowControl w:val="0"/>
        <w:keepNext w:val="0"/>
        <w:keepLines w:val="0"/>
        <w:shd w:val="clear" w:color="auto" w:fill="auto"/>
        <w:bidi w:val="0"/>
        <w:spacing w:before="0" w:after="240"/>
        <w:ind w:left="120" w:right="40" w:firstLine="320"/>
      </w:pPr>
      <w:r>
        <w:rPr>
          <w:lang w:val="ru-RU" w:eastAsia="ru-RU" w:bidi="ru-RU"/>
          <w:w w:val="100"/>
          <w:spacing w:val="0"/>
          <w:color w:val="000000"/>
          <w:position w:val="0"/>
        </w:rPr>
        <w:t xml:space="preserve"> Денежные средства, указанные в п. 10.1, 10.2 возвращаются Заказчиком Поставщику в течение 5 рабочих дней со дня подписания Сторонами Акта приема-передачи товара в полном объеме, предусмотренном настоящим Контрактом.</w:t>
      </w:r>
    </w:p>
    <w:p>
      <w:pPr>
        <w:pStyle w:val="Style17"/>
        <w:numPr>
          <w:ilvl w:val="0"/>
          <w:numId w:val="11"/>
        </w:numPr>
        <w:widowControl w:val="0"/>
        <w:keepNext w:val="0"/>
        <w:keepLines w:val="0"/>
        <w:shd w:val="clear" w:color="auto" w:fill="auto"/>
        <w:bidi w:val="0"/>
        <w:spacing w:before="0" w:after="202"/>
        <w:ind w:left="120" w:right="40" w:firstLine="320"/>
      </w:pPr>
      <w:r>
        <w:rPr>
          <w:lang w:val="ru-RU" w:eastAsia="ru-RU" w:bidi="ru-RU"/>
          <w:w w:val="100"/>
          <w:spacing w:val="0"/>
          <w:color w:val="000000"/>
          <w:position w:val="0"/>
        </w:rPr>
        <w:t xml:space="preserve"> В ходе исполнения настоящего Контракта Поставщик вправе предоставить Заказчику обеспечение исполнения настоящего Контракта, уменьшенное на размер выполненных обязательств, предусмотренных настоящим Контрактом, взамен ранее предоставленного обеспечения исполнения настоящего Контракта. При этом может быть изменен способ обеспечения исполнения настоящего Контракта.</w:t>
      </w:r>
    </w:p>
    <w:p>
      <w:pPr>
        <w:pStyle w:val="Style7"/>
        <w:widowControl w:val="0"/>
        <w:keepNext w:val="0"/>
        <w:keepLines w:val="0"/>
        <w:shd w:val="clear" w:color="auto" w:fill="auto"/>
        <w:bidi w:val="0"/>
        <w:jc w:val="left"/>
        <w:spacing w:before="0" w:after="0"/>
        <w:ind w:left="120" w:right="0" w:firstLine="880"/>
      </w:pPr>
      <w:r>
        <w:rPr>
          <w:rStyle w:val="CharStyle39"/>
        </w:rPr>
        <w:t>...»</w:t>
      </w:r>
      <w:r>
        <w:rPr>
          <w:lang w:val="ru-RU" w:eastAsia="ru-RU" w:bidi="ru-RU"/>
          <w:w w:val="100"/>
          <w:spacing w:val="0"/>
          <w:color w:val="000000"/>
          <w:position w:val="0"/>
        </w:rPr>
        <w:t xml:space="preserve"> (цитата из проекта контракта).</w:t>
      </w:r>
    </w:p>
    <w:p>
      <w:pPr>
        <w:pStyle w:val="Style7"/>
        <w:widowControl w:val="0"/>
        <w:keepNext w:val="0"/>
        <w:keepLines w:val="0"/>
        <w:shd w:val="clear" w:color="auto" w:fill="auto"/>
        <w:bidi w:val="0"/>
        <w:jc w:val="left"/>
        <w:spacing w:before="0" w:after="0"/>
        <w:ind w:left="120" w:right="40" w:firstLine="880"/>
      </w:pPr>
      <w:r>
        <w:rPr>
          <w:lang w:val="ru-RU" w:eastAsia="ru-RU" w:bidi="ru-RU"/>
          <w:w w:val="100"/>
          <w:spacing w:val="0"/>
          <w:color w:val="000000"/>
          <w:position w:val="0"/>
        </w:rPr>
        <w:t xml:space="preserve">Вместе с тем, в извещении о проведении Аукциона, размещенном на </w:t>
      </w:r>
      <w:r>
        <w:rPr>
          <w:rStyle w:val="CharStyle13"/>
        </w:rPr>
        <w:t>официальном сайте, Заказчик ука</w:t>
      </w:r>
      <w:r>
        <w:rPr>
          <w:lang w:val="ru-RU" w:eastAsia="ru-RU" w:bidi="ru-RU"/>
          <w:w w:val="100"/>
          <w:spacing w:val="0"/>
          <w:color w:val="000000"/>
          <w:position w:val="0"/>
        </w:rPr>
        <w:t>зал: «...</w:t>
      </w:r>
    </w:p>
    <w:tbl>
      <w:tblPr>
        <w:tblOverlap w:val="never"/>
        <w:tblLayout w:type="fixed"/>
        <w:jc w:val="center"/>
      </w:tblPr>
      <w:tblGrid>
        <w:gridCol w:w="4051"/>
        <w:gridCol w:w="6278"/>
      </w:tblGrid>
      <w:tr>
        <w:trPr>
          <w:trHeight w:val="662"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4"/>
              </w:rPr>
              <w:t>Обеспечение исполнения контракта</w:t>
            </w:r>
          </w:p>
        </w:tc>
        <w:tc>
          <w:tcPr>
            <w:shd w:val="clear" w:color="auto" w:fill="FFFFFF"/>
            <w:tcBorders>
              <w:left w:val="single" w:sz="4"/>
            </w:tcBorders>
            <w:vAlign w:val="top"/>
          </w:tcPr>
          <w:p>
            <w:pPr>
              <w:framePr w:w="10330" w:wrap="notBeside" w:vAnchor="text" w:hAnchor="text" w:xAlign="center" w:y="1"/>
              <w:widowControl w:val="0"/>
              <w:rPr>
                <w:sz w:val="10"/>
                <w:szCs w:val="10"/>
              </w:rPr>
            </w:pPr>
          </w:p>
        </w:tc>
      </w:tr>
      <w:tr>
        <w:trPr>
          <w:trHeight w:val="629"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69" w:lineRule="exact"/>
              <w:ind w:left="60" w:right="0" w:firstLine="0"/>
            </w:pPr>
            <w:r>
              <w:rPr>
                <w:rStyle w:val="CharStyle25"/>
              </w:rPr>
              <w:t>Требуется обеспечение исполнения контракта</w:t>
            </w: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634"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5"/>
              </w:rPr>
              <w:t>Размер обеспечения исполнения контракта</w:t>
            </w:r>
          </w:p>
        </w:tc>
        <w:tc>
          <w:tcPr>
            <w:shd w:val="clear" w:color="auto" w:fill="FFFFFF"/>
            <w:tcBorders>
              <w:left w:val="single" w:sz="4"/>
              <w:right w:val="single" w:sz="4"/>
              <w:top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20" w:lineRule="exact"/>
              <w:ind w:left="60" w:right="0" w:firstLine="0"/>
            </w:pPr>
            <w:r>
              <w:rPr>
                <w:rStyle w:val="CharStyle25"/>
              </w:rPr>
              <w:t>70000.00</w:t>
            </w:r>
          </w:p>
        </w:tc>
      </w:tr>
      <w:tr>
        <w:trPr>
          <w:trHeight w:val="1181" w:hRule="exact"/>
        </w:trPr>
        <w:tc>
          <w:tcPr>
            <w:shd w:val="clear" w:color="auto" w:fill="FFFFFF"/>
            <w:tcBorders>
              <w:lef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5"/>
              </w:rPr>
              <w:t>Порядок предоставления обеспечения исполнения контракта, требования к обеспечению, информация о банковском сопровождении контракта</w:t>
            </w:r>
          </w:p>
        </w:tc>
        <w:tc>
          <w:tcPr>
            <w:shd w:val="clear" w:color="auto" w:fill="FFFFFF"/>
            <w:tcBorders>
              <w:left w:val="single" w:sz="4"/>
              <w:right w:val="single" w:sz="4"/>
              <w:top w:val="single" w:sz="4"/>
            </w:tcBorders>
            <w:vAlign w:val="bottom"/>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5"/>
              </w:rPr>
              <w:t>В срок до подписания контракта участник закупки должен предоставить обеспечение исполнения контракта в форме банковской гарантии или передачи заказчику в залог денежных средств, в том числе в форме вклада (депозита)</w:t>
            </w:r>
          </w:p>
        </w:tc>
      </w:tr>
      <w:tr>
        <w:trPr>
          <w:trHeight w:val="1498" w:hRule="exact"/>
        </w:trPr>
        <w:tc>
          <w:tcPr>
            <w:shd w:val="clear" w:color="auto" w:fill="FFFFFF"/>
            <w:tcBorders>
              <w:left w:val="single" w:sz="4"/>
              <w:top w:val="single" w:sz="4"/>
              <w:bottom w:val="single" w:sz="4"/>
            </w:tcBorders>
            <w:vAlign w:val="center"/>
          </w:tcPr>
          <w:p>
            <w:pPr>
              <w:pStyle w:val="Style7"/>
              <w:framePr w:w="10330" w:wrap="notBeside" w:vAnchor="text" w:hAnchor="text" w:xAlign="center" w:y="1"/>
              <w:widowControl w:val="0"/>
              <w:keepNext w:val="0"/>
              <w:keepLines w:val="0"/>
              <w:shd w:val="clear" w:color="auto" w:fill="auto"/>
              <w:bidi w:val="0"/>
              <w:jc w:val="left"/>
              <w:spacing w:before="0" w:after="0" w:line="274" w:lineRule="exact"/>
              <w:ind w:left="60" w:right="0" w:firstLine="0"/>
            </w:pPr>
            <w:r>
              <w:rPr>
                <w:rStyle w:val="CharStyle25"/>
              </w:rPr>
              <w:t>Платежные реквизиты для обеспечения исполнения контракта</w:t>
            </w:r>
          </w:p>
        </w:tc>
        <w:tc>
          <w:tcPr>
            <w:shd w:val="clear" w:color="auto" w:fill="FFFFFF"/>
            <w:tcBorders>
              <w:left w:val="single" w:sz="4"/>
              <w:right w:val="single" w:sz="4"/>
              <w:top w:val="single" w:sz="4"/>
              <w:bottom w:val="single" w:sz="4"/>
            </w:tcBorders>
            <w:vAlign w:val="top"/>
          </w:tcPr>
          <w:p>
            <w:pPr>
              <w:pStyle w:val="Style7"/>
              <w:framePr w:w="10330" w:wrap="notBeside" w:vAnchor="text" w:hAnchor="text" w:xAlign="center" w:y="1"/>
              <w:widowControl w:val="0"/>
              <w:keepNext w:val="0"/>
              <w:keepLines w:val="0"/>
              <w:shd w:val="clear" w:color="auto" w:fill="auto"/>
              <w:bidi w:val="0"/>
              <w:jc w:val="left"/>
              <w:spacing w:before="0" w:after="0" w:line="552" w:lineRule="exact"/>
              <w:ind w:left="60" w:right="0" w:firstLine="0"/>
            </w:pPr>
            <w:r>
              <w:rPr>
                <w:rStyle w:val="CharStyle25"/>
              </w:rPr>
              <w:t>"Номер расчётного счёта" 40302810635101000001 "Номер лицевого счёта" 05751А92080 "БИК" 043510001</w:t>
            </w:r>
          </w:p>
        </w:tc>
      </w:tr>
    </w:tbl>
    <w:p>
      <w:pPr>
        <w:widowControl w:val="0"/>
        <w:rPr>
          <w:sz w:val="2"/>
          <w:szCs w:val="2"/>
        </w:rPr>
      </w:pPr>
    </w:p>
    <w:p>
      <w:pPr>
        <w:pStyle w:val="Style7"/>
        <w:widowControl w:val="0"/>
        <w:keepNext w:val="0"/>
        <w:keepLines w:val="0"/>
        <w:shd w:val="clear" w:color="auto" w:fill="auto"/>
        <w:bidi w:val="0"/>
        <w:jc w:val="left"/>
        <w:spacing w:before="0" w:after="0" w:line="260" w:lineRule="exact"/>
        <w:ind w:left="120" w:right="0" w:firstLine="880"/>
      </w:pPr>
      <w:r>
        <w:rPr>
          <w:lang w:val="ru-RU" w:eastAsia="ru-RU" w:bidi="ru-RU"/>
          <w:w w:val="100"/>
          <w:spacing w:val="0"/>
          <w:color w:val="000000"/>
          <w:position w:val="0"/>
        </w:rPr>
        <w:t>.» (цитата извещения о проведении Аукциона).</w:t>
      </w:r>
    </w:p>
    <w:p>
      <w:pPr>
        <w:pStyle w:val="Style7"/>
        <w:widowControl w:val="0"/>
        <w:keepNext w:val="0"/>
        <w:keepLines w:val="0"/>
        <w:shd w:val="clear" w:color="auto" w:fill="auto"/>
        <w:bidi w:val="0"/>
        <w:jc w:val="left"/>
        <w:spacing w:before="0" w:after="0" w:line="260" w:lineRule="exact"/>
        <w:ind w:left="120" w:right="0" w:firstLine="880"/>
      </w:pPr>
      <w:r>
        <w:rPr>
          <w:lang w:val="ru-RU" w:eastAsia="ru-RU" w:bidi="ru-RU"/>
          <w:w w:val="100"/>
          <w:spacing w:val="0"/>
          <w:color w:val="000000"/>
          <w:position w:val="0"/>
        </w:rPr>
        <w:t>При этом в документации об Аукционе Заказчик определил: «...</w:t>
      </w:r>
    </w:p>
    <w:tbl>
      <w:tblPr>
        <w:tblOverlap w:val="never"/>
        <w:tblLayout w:type="fixed"/>
        <w:jc w:val="center"/>
      </w:tblPr>
      <w:tblGrid>
        <w:gridCol w:w="1488"/>
        <w:gridCol w:w="8837"/>
      </w:tblGrid>
      <w:tr>
        <w:trPr>
          <w:trHeight w:val="307" w:hRule="exact"/>
        </w:trPr>
        <w:tc>
          <w:tcPr>
            <w:shd w:val="clear" w:color="auto" w:fill="FFFFFF"/>
            <w:tcBorders>
              <w:left w:val="single" w:sz="4"/>
              <w:top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4"/>
              </w:rPr>
              <w:t>ИУЗ 24.</w:t>
            </w:r>
          </w:p>
        </w:tc>
        <w:tc>
          <w:tcPr>
            <w:shd w:val="clear" w:color="auto" w:fill="FFFFFF"/>
            <w:tcBorders>
              <w:left w:val="single" w:sz="4"/>
              <w:right w:val="single" w:sz="4"/>
              <w:top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4"/>
              </w:rPr>
              <w:t>Обеспечение исполнения контракта:</w:t>
            </w:r>
          </w:p>
        </w:tc>
      </w:tr>
      <w:tr>
        <w:trPr>
          <w:trHeight w:val="278"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В размере 10 % от начальной (максимальной) цены контракта, что составляет</w:t>
            </w:r>
          </w:p>
        </w:tc>
      </w:tr>
      <w:tr>
        <w:trPr>
          <w:trHeight w:val="278"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70000 руб. 00 коп.</w:t>
            </w:r>
          </w:p>
        </w:tc>
      </w:tr>
      <w:tr>
        <w:trPr>
          <w:trHeight w:val="274"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В срок до подписания контракта участник закупки должен предоставить</w:t>
            </w:r>
          </w:p>
        </w:tc>
      </w:tr>
      <w:tr>
        <w:trPr>
          <w:trHeight w:val="293"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обеспечение исполнения контракта в форме банковской гарантии или передачи</w:t>
            </w:r>
          </w:p>
        </w:tc>
      </w:tr>
      <w:tr>
        <w:trPr>
          <w:trHeight w:val="278"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заказчику в залог денежных средств, в том числе в форме вклада (депозита) по</w:t>
            </w:r>
          </w:p>
        </w:tc>
      </w:tr>
      <w:tr>
        <w:trPr>
          <w:trHeight w:val="254"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следующим реквизитам:</w:t>
            </w:r>
          </w:p>
        </w:tc>
      </w:tr>
      <w:tr>
        <w:trPr>
          <w:trHeight w:val="250"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ИНН 7707832944, КПП 910201001</w:t>
            </w:r>
          </w:p>
        </w:tc>
      </w:tr>
      <w:tr>
        <w:trPr>
          <w:trHeight w:val="274"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УФК ПО РЕСПУБЛИКЕ КРЫМ</w:t>
            </w:r>
          </w:p>
        </w:tc>
      </w:tr>
      <w:tr>
        <w:trPr>
          <w:trHeight w:val="278"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Л/С 05751А92080</w:t>
            </w:r>
          </w:p>
        </w:tc>
      </w:tr>
      <w:tr>
        <w:trPr>
          <w:trHeight w:val="274"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Р/С 40302810635101000001</w:t>
            </w:r>
          </w:p>
        </w:tc>
      </w:tr>
      <w:tr>
        <w:trPr>
          <w:trHeight w:val="293"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ОТДЕЛЕНИЕ ПО РЕСПУБЛИКЕ КРЫМ</w:t>
            </w:r>
          </w:p>
        </w:tc>
      </w:tr>
      <w:tr>
        <w:trPr>
          <w:trHeight w:val="269" w:hRule="exact"/>
        </w:trPr>
        <w:tc>
          <w:tcPr>
            <w:shd w:val="clear" w:color="auto" w:fill="FFFFFF"/>
            <w:tcBorders>
              <w:left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БИК 043510001</w:t>
            </w:r>
          </w:p>
        </w:tc>
      </w:tr>
      <w:tr>
        <w:trPr>
          <w:trHeight w:val="278" w:hRule="exact"/>
        </w:trPr>
        <w:tc>
          <w:tcPr>
            <w:shd w:val="clear" w:color="auto" w:fill="FFFFFF"/>
            <w:tcBorders>
              <w:left w:val="single" w:sz="4"/>
              <w:bottom w:val="single" w:sz="4"/>
            </w:tcBorders>
            <w:vAlign w:val="top"/>
          </w:tcPr>
          <w:p>
            <w:pPr>
              <w:framePr w:w="10325" w:wrap="notBeside" w:vAnchor="text" w:hAnchor="text" w:xAlign="center" w:y="1"/>
              <w:widowControl w:val="0"/>
              <w:rPr>
                <w:sz w:val="10"/>
                <w:szCs w:val="10"/>
              </w:rPr>
            </w:pPr>
          </w:p>
        </w:tc>
        <w:tc>
          <w:tcPr>
            <w:shd w:val="clear" w:color="auto" w:fill="FFFFFF"/>
            <w:tcBorders>
              <w:left w:val="single" w:sz="4"/>
              <w:right w:val="single" w:sz="4"/>
              <w:bottom w:val="single" w:sz="4"/>
            </w:tcBorders>
            <w:vAlign w:val="bottom"/>
          </w:tcPr>
          <w:p>
            <w:pPr>
              <w:pStyle w:val="Style7"/>
              <w:framePr w:w="10325" w:wrap="notBeside" w:vAnchor="text" w:hAnchor="text" w:xAlign="center" w:y="1"/>
              <w:widowControl w:val="0"/>
              <w:keepNext w:val="0"/>
              <w:keepLines w:val="0"/>
              <w:shd w:val="clear" w:color="auto" w:fill="auto"/>
              <w:bidi w:val="0"/>
              <w:jc w:val="left"/>
              <w:spacing w:before="0" w:after="0" w:line="220" w:lineRule="exact"/>
              <w:ind w:left="100" w:right="0" w:firstLine="0"/>
            </w:pPr>
            <w:r>
              <w:rPr>
                <w:rStyle w:val="CharStyle25"/>
              </w:rPr>
              <w:t>В платежном поручении в графе «назначение платежа» необходимо указать</w:t>
            </w:r>
          </w:p>
        </w:tc>
      </w:tr>
    </w:tbl>
    <w:p>
      <w:pPr>
        <w:widowControl w:val="0"/>
        <w:rPr>
          <w:sz w:val="2"/>
          <w:szCs w:val="2"/>
        </w:rPr>
      </w:pPr>
    </w:p>
    <w:p>
      <w:pPr>
        <w:pStyle w:val="Style17"/>
        <w:widowControl w:val="0"/>
        <w:keepNext w:val="0"/>
        <w:keepLines w:val="0"/>
        <w:shd w:val="clear" w:color="auto" w:fill="auto"/>
        <w:bidi w:val="0"/>
        <w:spacing w:before="0" w:after="8" w:line="220" w:lineRule="exact"/>
        <w:ind w:left="20" w:right="0" w:firstLine="0"/>
      </w:pPr>
      <w:r>
        <w:rPr>
          <w:lang w:val="ru-RU" w:eastAsia="ru-RU" w:bidi="ru-RU"/>
          <w:w w:val="100"/>
          <w:spacing w:val="0"/>
          <w:color w:val="000000"/>
          <w:position w:val="0"/>
        </w:rPr>
        <w:t>«обеспечение исполнения Контракта на поставку канцелярских товаров, номер</w:t>
      </w:r>
    </w:p>
    <w:p>
      <w:pPr>
        <w:pStyle w:val="Style17"/>
        <w:tabs>
          <w:tab w:leader="underscore" w:pos="8554" w:val="right"/>
        </w:tabs>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извещения в единой информационной системе (на официальном сайте)</w:t>
        <w:tab/>
        <w:t>».</w:t>
      </w:r>
    </w:p>
    <w:p>
      <w:pPr>
        <w:pStyle w:val="Style17"/>
        <w:widowControl w:val="0"/>
        <w:keepNext w:val="0"/>
        <w:keepLines w:val="0"/>
        <w:shd w:val="clear" w:color="auto" w:fill="auto"/>
        <w:bidi w:val="0"/>
        <w:spacing w:before="0" w:after="248" w:line="283" w:lineRule="exact"/>
        <w:ind w:left="20" w:right="20" w:firstLine="0"/>
      </w:pPr>
      <w:r>
        <w:rPr>
          <w:lang w:val="ru-RU" w:eastAsia="ru-RU" w:bidi="ru-RU"/>
          <w:w w:val="100"/>
          <w:spacing w:val="0"/>
          <w:color w:val="000000"/>
          <w:position w:val="0"/>
        </w:rPr>
        <w:t>Форма обеспечения исполнения контракта определяется участником закупки самостоятельно.</w:t>
      </w:r>
    </w:p>
    <w:p>
      <w:pPr>
        <w:pStyle w:val="Style3"/>
        <w:widowControl w:val="0"/>
        <w:keepNext w:val="0"/>
        <w:keepLines w:val="0"/>
        <w:shd w:val="clear" w:color="auto" w:fill="auto"/>
        <w:bidi w:val="0"/>
        <w:jc w:val="both"/>
        <w:spacing w:before="0" w:after="283" w:line="274" w:lineRule="exact"/>
        <w:ind w:left="20" w:right="20" w:firstLine="0"/>
      </w:pPr>
      <w:r>
        <w:rPr>
          <w:lang w:val="ru-RU" w:eastAsia="ru-RU" w:bidi="ru-RU"/>
          <w:w w:val="100"/>
          <w:spacing w:val="0"/>
          <w:color w:val="000000"/>
          <w:position w:val="0"/>
        </w:rPr>
        <w:t>Требования к обеспечению исполнения контракта, предоставляемому в виде банковской гарантии:</w:t>
      </w:r>
    </w:p>
    <w:p>
      <w:pPr>
        <w:pStyle w:val="Style17"/>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Банковская гарантия должна быть безотзывной и должна содержать:</w:t>
      </w:r>
    </w:p>
    <w:p>
      <w:pPr>
        <w:pStyle w:val="Style17"/>
        <w:numPr>
          <w:ilvl w:val="0"/>
          <w:numId w:val="17"/>
        </w:numPr>
        <w:widowControl w:val="0"/>
        <w:keepNext w:val="0"/>
        <w:keepLines w:val="0"/>
        <w:shd w:val="clear" w:color="auto" w:fill="auto"/>
        <w:bidi w:val="0"/>
        <w:spacing w:before="0" w:after="244"/>
        <w:ind w:left="20" w:right="20" w:firstLine="0"/>
      </w:pPr>
      <w:r>
        <w:rPr>
          <w:lang w:val="ru-RU" w:eastAsia="ru-RU" w:bidi="ru-RU"/>
          <w:w w:val="100"/>
          <w:spacing w:val="0"/>
          <w:color w:val="000000"/>
          <w:position w:val="0"/>
        </w:rPr>
        <w:t xml:space="preserve"> сумму банковской гарантии, подлежащую уплате гарантом заказчику в случае ненадлежащего исполнения обязательств принципалом в соответствии со ст. 24 настоящей документации об электронном аукционе;</w:t>
      </w:r>
    </w:p>
    <w:p>
      <w:pPr>
        <w:pStyle w:val="Style17"/>
        <w:numPr>
          <w:ilvl w:val="0"/>
          <w:numId w:val="17"/>
        </w:numPr>
        <w:widowControl w:val="0"/>
        <w:keepNext w:val="0"/>
        <w:keepLines w:val="0"/>
        <w:shd w:val="clear" w:color="auto" w:fill="auto"/>
        <w:bidi w:val="0"/>
        <w:spacing w:before="0" w:after="233" w:line="269" w:lineRule="exact"/>
        <w:ind w:left="20" w:right="20" w:firstLine="0"/>
      </w:pPr>
      <w:r>
        <w:rPr>
          <w:lang w:val="ru-RU" w:eastAsia="ru-RU" w:bidi="ru-RU"/>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17"/>
        <w:numPr>
          <w:ilvl w:val="0"/>
          <w:numId w:val="17"/>
        </w:numPr>
        <w:widowControl w:val="0"/>
        <w:keepNext w:val="0"/>
        <w:keepLines w:val="0"/>
        <w:shd w:val="clear" w:color="auto" w:fill="auto"/>
        <w:bidi w:val="0"/>
        <w:spacing w:before="0" w:after="244" w:line="278" w:lineRule="exact"/>
        <w:ind w:left="20" w:right="20" w:firstLine="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17"/>
        <w:numPr>
          <w:ilvl w:val="0"/>
          <w:numId w:val="17"/>
        </w:numPr>
        <w:widowControl w:val="0"/>
        <w:keepNext w:val="0"/>
        <w:keepLines w:val="0"/>
        <w:shd w:val="clear" w:color="auto" w:fill="auto"/>
        <w:bidi w:val="0"/>
        <w:spacing w:before="0" w:after="236"/>
        <w:ind w:left="20" w:right="20" w:firstLine="0"/>
      </w:pPr>
      <w:r>
        <w:rPr>
          <w:lang w:val="ru-RU" w:eastAsia="ru-RU" w:bidi="ru-RU"/>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7"/>
        <w:numPr>
          <w:ilvl w:val="0"/>
          <w:numId w:val="17"/>
        </w:numPr>
        <w:widowControl w:val="0"/>
        <w:keepNext w:val="0"/>
        <w:keepLines w:val="0"/>
        <w:shd w:val="clear" w:color="auto" w:fill="auto"/>
        <w:bidi w:val="0"/>
        <w:spacing w:before="0" w:after="244" w:line="278" w:lineRule="exact"/>
        <w:ind w:left="20" w:right="20" w:firstLine="0"/>
      </w:pPr>
      <w:r>
        <w:rPr>
          <w:lang w:val="ru-RU" w:eastAsia="ru-RU" w:bidi="ru-RU"/>
          <w:w w:val="100"/>
          <w:spacing w:val="0"/>
          <w:color w:val="000000"/>
          <w:position w:val="0"/>
        </w:rPr>
        <w:t xml:space="preserve"> срок действия банковской гарантии с учетом требований статьи 24 настоящей документации об электронном аукционе;</w:t>
      </w:r>
    </w:p>
    <w:p>
      <w:pPr>
        <w:pStyle w:val="Style17"/>
        <w:numPr>
          <w:ilvl w:val="0"/>
          <w:numId w:val="17"/>
        </w:numPr>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17"/>
        <w:numPr>
          <w:ilvl w:val="0"/>
          <w:numId w:val="17"/>
        </w:numPr>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17"/>
        <w:numPr>
          <w:ilvl w:val="0"/>
          <w:numId w:val="17"/>
        </w:numPr>
        <w:widowControl w:val="0"/>
        <w:keepNext w:val="0"/>
        <w:keepLines w:val="0"/>
        <w:shd w:val="clear" w:color="auto" w:fill="auto"/>
        <w:bidi w:val="0"/>
        <w:spacing w:before="0" w:after="240"/>
        <w:ind w:left="20" w:right="20" w:firstLine="0"/>
      </w:pPr>
      <w:r>
        <w:rPr>
          <w:lang w:val="ru-RU" w:eastAsia="ru-RU" w:bidi="ru-RU"/>
          <w:w w:val="100"/>
          <w:spacing w:val="0"/>
          <w:color w:val="000000"/>
          <w:position w:val="0"/>
        </w:rPr>
        <w:t xml:space="preserve"> Банковская гарантия включает в себя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17"/>
        <w:numPr>
          <w:ilvl w:val="0"/>
          <w:numId w:val="17"/>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Банковская гарантия, предоставляемая участником электронного аукциона в качестве обеспечения исполнения контракта, информация о ней и документы, предусмотренные ч. 9 ст. 45 Федерального закона от 05.04.2013 г. </w:t>
      </w:r>
      <w:r>
        <w:rPr>
          <w:lang w:val="en-US" w:eastAsia="en-US" w:bidi="en-US"/>
          <w:w w:val="100"/>
          <w:spacing w:val="0"/>
          <w:color w:val="000000"/>
          <w:position w:val="0"/>
        </w:rPr>
        <w:t xml:space="preserve">N </w:t>
      </w:r>
      <w:r>
        <w:rPr>
          <w:lang w:val="ru-RU" w:eastAsia="ru-RU" w:bidi="ru-RU"/>
          <w:w w:val="100"/>
          <w:spacing w:val="0"/>
          <w:color w:val="000000"/>
          <w:position w:val="0"/>
        </w:rPr>
        <w:t>44-ФЗ, должны быть включены в реестр банковских гарантий, размещенный в единой информационной системе.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r>
        <w:br w:type="page"/>
      </w:r>
    </w:p>
    <w:p>
      <w:pPr>
        <w:pStyle w:val="Style17"/>
        <w:widowControl w:val="0"/>
        <w:keepNext w:val="0"/>
        <w:keepLines w:val="0"/>
        <w:shd w:val="clear" w:color="auto" w:fill="auto"/>
        <w:bidi w:val="0"/>
        <w:spacing w:before="0" w:after="240" w:line="278" w:lineRule="exact"/>
        <w:ind w:left="20" w:right="40" w:firstLine="0"/>
      </w:pPr>
      <w:r>
        <w:rPr>
          <w:lang w:val="ru-RU" w:eastAsia="ru-RU" w:bidi="ru-RU"/>
          <w:w w:val="100"/>
          <w:spacing w:val="0"/>
          <w:color w:val="000000"/>
          <w:position w:val="0"/>
        </w:rPr>
        <w:t>Срок действия банковской гарантии должен превышать срок действия контракта не менее чем на один месяц.</w:t>
      </w:r>
    </w:p>
    <w:p>
      <w:pPr>
        <w:pStyle w:val="Style3"/>
        <w:widowControl w:val="0"/>
        <w:keepNext w:val="0"/>
        <w:keepLines w:val="0"/>
        <w:shd w:val="clear" w:color="auto" w:fill="auto"/>
        <w:bidi w:val="0"/>
        <w:jc w:val="both"/>
        <w:spacing w:before="0" w:after="236"/>
        <w:ind w:left="20" w:right="40" w:firstLine="0"/>
      </w:pPr>
      <w:r>
        <w:rPr>
          <w:lang w:val="ru-RU" w:eastAsia="ru-RU" w:bidi="ru-RU"/>
          <w:w w:val="100"/>
          <w:spacing w:val="0"/>
          <w:color w:val="000000"/>
          <w:position w:val="0"/>
        </w:rPr>
        <w:t>Требования к обеспечению исполнения контракта, предоставляемому в виде залога денежных средств:</w:t>
      </w:r>
    </w:p>
    <w:p>
      <w:pPr>
        <w:pStyle w:val="Style17"/>
        <w:numPr>
          <w:ilvl w:val="0"/>
          <w:numId w:val="19"/>
        </w:numPr>
        <w:widowControl w:val="0"/>
        <w:keepNext w:val="0"/>
        <w:keepLines w:val="0"/>
        <w:shd w:val="clear" w:color="auto" w:fill="auto"/>
        <w:bidi w:val="0"/>
        <w:spacing w:before="0" w:after="248" w:line="283" w:lineRule="exact"/>
        <w:ind w:left="20" w:right="40" w:firstLine="0"/>
      </w:pPr>
      <w:r>
        <w:rPr>
          <w:lang w:val="ru-RU" w:eastAsia="ru-RU" w:bidi="ru-RU"/>
          <w:w w:val="100"/>
          <w:spacing w:val="0"/>
          <w:color w:val="000000"/>
          <w:position w:val="0"/>
        </w:rPr>
        <w:t xml:space="preserve"> денежные средства, вносимые в обеспечение исполнения контракта, в качестве залога должны быть перечислены в размере, указанном в настоящем разделе;</w:t>
      </w:r>
    </w:p>
    <w:p>
      <w:pPr>
        <w:pStyle w:val="Style17"/>
        <w:numPr>
          <w:ilvl w:val="0"/>
          <w:numId w:val="19"/>
        </w:numPr>
        <w:widowControl w:val="0"/>
        <w:keepNext w:val="0"/>
        <w:keepLines w:val="0"/>
        <w:shd w:val="clear" w:color="auto" w:fill="auto"/>
        <w:bidi w:val="0"/>
        <w:spacing w:before="0" w:after="240"/>
        <w:ind w:left="20" w:right="40" w:firstLine="0"/>
      </w:pPr>
      <w:r>
        <w:rPr>
          <w:lang w:val="ru-RU" w:eastAsia="ru-RU" w:bidi="ru-RU"/>
          <w:w w:val="100"/>
          <w:spacing w:val="0"/>
          <w:color w:val="000000"/>
          <w:position w:val="0"/>
        </w:rPr>
        <w:t xml:space="preserve"> факт внесения денежных средств в обеспечение исполнения контракта подтверждается выпиской банка получателя денежных средств.</w:t>
      </w:r>
    </w:p>
    <w:p>
      <w:pPr>
        <w:pStyle w:val="Style17"/>
        <w:numPr>
          <w:ilvl w:val="0"/>
          <w:numId w:val="19"/>
        </w:numPr>
        <w:tabs>
          <w:tab w:leader="underscore" w:pos="8670" w:val="left"/>
        </w:tabs>
        <w:widowControl w:val="0"/>
        <w:keepNext w:val="0"/>
        <w:keepLines w:val="0"/>
        <w:shd w:val="clear" w:color="auto" w:fill="auto"/>
        <w:bidi w:val="0"/>
        <w:spacing w:before="0" w:after="0"/>
        <w:ind w:left="20" w:right="40" w:firstLine="0"/>
        <w:sectPr>
          <w:footnotePr>
            <w:pos w:val="pageBottom"/>
            <w:numFmt w:val="decimal"/>
            <w:numRestart w:val="continuous"/>
          </w:footnotePr>
          <w:type w:val="continuous"/>
          <w:pgSz w:w="16838" w:h="23810"/>
          <w:pgMar w:top="4772" w:left="4020" w:right="2431" w:bottom="4379" w:header="0" w:footer="3" w:gutter="0"/>
          <w:rtlGutter w:val="0"/>
          <w:cols w:space="720"/>
          <w:noEndnote/>
          <w:docGrid w:linePitch="360"/>
        </w:sectPr>
      </w:pPr>
      <w:r>
        <w:rPr>
          <w:lang w:val="ru-RU" w:eastAsia="ru-RU" w:bidi="ru-RU"/>
          <w:w w:val="100"/>
          <w:spacing w:val="0"/>
          <w:color w:val="000000"/>
          <w:position w:val="0"/>
        </w:rPr>
        <w:t xml:space="preserve"> денежные средства, вносимые в обеспечение исполнения контракта в качестве залога, должны быть зачислены по реквизитам счета заказчика до заключения контракта. В противном случае обеспечение исполнения контракта в виде залога </w:t>
      </w:r>
      <w:r>
        <w:rPr>
          <w:rStyle w:val="CharStyle19"/>
        </w:rPr>
        <w:t>денежных средств считается не представленным.</w:t>
      </w:r>
      <w:r>
        <w:rPr>
          <w:lang w:val="ru-RU" w:eastAsia="ru-RU" w:bidi="ru-RU"/>
          <w:w w:val="100"/>
          <w:spacing w:val="0"/>
          <w:color w:val="000000"/>
          <w:position w:val="0"/>
        </w:rPr>
        <w:tab/>
      </w:r>
    </w:p>
    <w:p>
      <w:pPr>
        <w:widowControl w:val="0"/>
        <w:spacing w:line="240" w:lineRule="exact"/>
        <w:rPr>
          <w:sz w:val="19"/>
          <w:szCs w:val="19"/>
        </w:rPr>
      </w:pPr>
    </w:p>
    <w:p>
      <w:pPr>
        <w:widowControl w:val="0"/>
        <w:spacing w:before="85" w:after="8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60" w:lineRule="exact"/>
        <w:ind w:left="0" w:right="0" w:firstLine="0"/>
        <w:sectPr>
          <w:type w:val="continuous"/>
          <w:pgSz w:w="16838" w:h="23810"/>
          <w:pgMar w:top="4646" w:left="4183" w:right="12252" w:bottom="4132" w:header="0" w:footer="3" w:gutter="0"/>
          <w:rtlGutter w:val="0"/>
          <w:cols w:space="720"/>
          <w:noEndnote/>
          <w:docGrid w:linePitch="360"/>
        </w:sectPr>
      </w:pPr>
      <w:r>
        <w:rPr>
          <w:lang w:val="ru-RU" w:eastAsia="ru-RU" w:bidi="ru-RU"/>
          <w:w w:val="100"/>
          <w:spacing w:val="0"/>
          <w:color w:val="000000"/>
          <w:position w:val="0"/>
        </w:rPr>
        <w:t>«.</w:t>
      </w:r>
    </w:p>
    <w:p>
      <w:pPr>
        <w:widowControl w:val="0"/>
        <w:spacing w:line="113" w:lineRule="exact"/>
        <w:rPr>
          <w:sz w:val="9"/>
          <w:szCs w:val="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7"/>
        <w:framePr w:h="200" w:wrap="around" w:vAnchor="text" w:hAnchor="margin" w:x="548" w:y="3"/>
        <w:widowControl w:val="0"/>
        <w:keepNext w:val="0"/>
        <w:keepLines w:val="0"/>
        <w:shd w:val="clear" w:color="auto" w:fill="auto"/>
        <w:bidi w:val="0"/>
        <w:jc w:val="left"/>
        <w:spacing w:before="0" w:after="0" w:line="210" w:lineRule="exact"/>
        <w:ind w:left="0" w:right="0" w:firstLine="0"/>
      </w:pPr>
      <w:r>
        <w:rPr>
          <w:rStyle w:val="CharStyle40"/>
          <w:spacing w:val="0"/>
        </w:rPr>
        <w:t>22</w:t>
      </w:r>
    </w:p>
    <w:p>
      <w:pPr>
        <w:widowControl w:val="0"/>
        <w:rPr>
          <w:sz w:val="2"/>
          <w:szCs w:val="2"/>
        </w:rPr>
      </w:pPr>
    </w:p>
    <w:p>
      <w:pPr>
        <w:pStyle w:val="Style3"/>
        <w:widowControl w:val="0"/>
        <w:keepNext w:val="0"/>
        <w:keepLines w:val="0"/>
        <w:shd w:val="clear" w:color="auto" w:fill="auto"/>
        <w:bidi w:val="0"/>
        <w:jc w:val="left"/>
        <w:spacing w:before="0" w:after="0" w:line="317" w:lineRule="exact"/>
        <w:ind w:left="0" w:right="0" w:firstLine="0"/>
      </w:pPr>
      <w:r>
        <w:rPr>
          <w:lang w:val="ru-RU" w:eastAsia="ru-RU" w:bidi="ru-RU"/>
          <w:w w:val="100"/>
          <w:spacing w:val="0"/>
          <w:color w:val="000000"/>
          <w:position w:val="0"/>
        </w:rPr>
        <w:t>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3"/>
        <w:tabs>
          <w:tab w:leader="none" w:pos="1513"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Размер обеспечения исполнения государственного контракта</w:t>
      </w:r>
      <w:r>
        <w:rPr>
          <w:rStyle w:val="CharStyle41"/>
          <w:b w:val="0"/>
          <w:bCs w:val="0"/>
        </w:rPr>
        <w:t>:</w:t>
        <w:tab/>
      </w:r>
      <w:r>
        <w:rPr>
          <w:lang w:val="ru-RU" w:eastAsia="ru-RU" w:bidi="ru-RU"/>
          <w:w w:val="100"/>
          <w:spacing w:val="0"/>
          <w:color w:val="000000"/>
          <w:position w:val="0"/>
        </w:rPr>
        <w:t xml:space="preserve">5% </w:t>
      </w:r>
      <w:r>
        <w:rPr>
          <w:rStyle w:val="CharStyle41"/>
          <w:b w:val="0"/>
          <w:bCs w:val="0"/>
        </w:rPr>
        <w:t>от начальной (максимальной) цены</w:t>
      </w:r>
    </w:p>
    <w:p>
      <w:pPr>
        <w:pStyle w:val="Style3"/>
        <w:widowControl w:val="0"/>
        <w:keepNext w:val="0"/>
        <w:keepLines w:val="0"/>
        <w:shd w:val="clear" w:color="auto" w:fill="auto"/>
        <w:bidi w:val="0"/>
        <w:jc w:val="both"/>
        <w:spacing w:before="0" w:after="0" w:line="317" w:lineRule="exact"/>
        <w:ind w:left="20" w:right="20" w:firstLine="0"/>
      </w:pPr>
      <w:r>
        <w:rPr>
          <w:rStyle w:val="CharStyle41"/>
          <w:b w:val="0"/>
          <w:bCs w:val="0"/>
        </w:rPr>
        <w:t xml:space="preserve">государственного контракта, что составляет </w:t>
      </w:r>
      <w:r>
        <w:rPr>
          <w:lang w:val="ru-RU" w:eastAsia="ru-RU" w:bidi="ru-RU"/>
          <w:w w:val="100"/>
          <w:spacing w:val="0"/>
          <w:color w:val="000000"/>
          <w:position w:val="0"/>
        </w:rPr>
        <w:t>47 250,00 (сорок семь тысяч двести пятьдесят) рублей 00 копеек.</w:t>
      </w:r>
    </w:p>
    <w:p>
      <w:pPr>
        <w:pStyle w:val="Style17"/>
        <w:numPr>
          <w:ilvl w:val="0"/>
          <w:numId w:val="21"/>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Исполнение контракта может обеспечиваться предоставлением банковской гарантии, выданной банком и соответствующей требованиям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17"/>
        <w:numPr>
          <w:ilvl w:val="0"/>
          <w:numId w:val="21"/>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Федеральным законом № 44-ФЗ.</w:t>
      </w:r>
    </w:p>
    <w:p>
      <w:pPr>
        <w:pStyle w:val="Style17"/>
        <w:numPr>
          <w:ilvl w:val="0"/>
          <w:numId w:val="21"/>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17"/>
        <w:numPr>
          <w:ilvl w:val="0"/>
          <w:numId w:val="21"/>
        </w:numPr>
        <w:widowControl w:val="0"/>
        <w:keepNext w:val="0"/>
        <w:keepLines w:val="0"/>
        <w:shd w:val="clear" w:color="auto" w:fill="auto"/>
        <w:bidi w:val="0"/>
        <w:spacing w:before="0" w:after="0" w:line="317" w:lineRule="exact"/>
        <w:ind w:left="20" w:right="20" w:firstLine="0"/>
        <w:sectPr>
          <w:type w:val="continuous"/>
          <w:pgSz w:w="16838" w:h="23810"/>
          <w:pgMar w:top="4631" w:left="3847" w:right="3324" w:bottom="4117" w:header="0" w:footer="3" w:gutter="0"/>
          <w:rtlGutter w:val="0"/>
          <w:cols w:num="2" w:sep="1" w:space="720" w:equalWidth="0">
            <w:col w:w="3005" w:space="264"/>
            <w:col w:w="6398"/>
          </w:cols>
          <w:noEndnote/>
          <w:docGrid w:linePitch="360"/>
        </w:sectPr>
      </w:pPr>
      <w:r>
        <w:rPr>
          <w:lang w:val="ru-RU" w:eastAsia="ru-RU" w:bidi="ru-RU"/>
          <w:w w:val="100"/>
          <w:spacing w:val="0"/>
          <w:color w:val="000000"/>
          <w:position w:val="0"/>
        </w:rPr>
        <w:t xml:space="preserve">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w:t>
      </w:r>
    </w:p>
    <w:p>
      <w:pPr>
        <w:pStyle w:val="Style17"/>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этом может быть изменен способ обеспечения исполнения контракта.</w:t>
      </w:r>
    </w:p>
    <w:p>
      <w:pPr>
        <w:pStyle w:val="Style17"/>
        <w:numPr>
          <w:ilvl w:val="0"/>
          <w:numId w:val="21"/>
        </w:numPr>
        <w:tabs>
          <w:tab w:leader="none" w:pos="318" w:val="left"/>
        </w:tabs>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В случае, если участником закупки, с которым заключается контракт, является государственное или муниципальное казенное учреждение, положения об обеспечении исполнения контракта к такому участнику не применяются.</w:t>
      </w:r>
    </w:p>
    <w:p>
      <w:pPr>
        <w:pStyle w:val="Style3"/>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Условия банковской гарантии:</w:t>
      </w:r>
    </w:p>
    <w:p>
      <w:pPr>
        <w:pStyle w:val="Style17"/>
        <w:widowControl w:val="0"/>
        <w:keepNext w:val="0"/>
        <w:keepLines w:val="0"/>
        <w:shd w:val="clear" w:color="auto" w:fill="auto"/>
        <w:bidi w:val="0"/>
        <w:spacing w:before="0" w:after="0" w:line="317" w:lineRule="exact"/>
        <w:ind w:left="20" w:right="20" w:firstLine="0"/>
      </w:pPr>
      <w:r>
        <w:rPr>
          <w:rStyle w:val="CharStyle42"/>
        </w:rPr>
        <w:t>1.</w:t>
      </w:r>
      <w:r>
        <w:rPr>
          <w:lang w:val="ru-RU" w:eastAsia="ru-RU" w:bidi="ru-RU"/>
          <w:w w:val="100"/>
          <w:spacing w:val="0"/>
          <w:color w:val="000000"/>
          <w:position w:val="0"/>
        </w:rPr>
        <w:t>Заказчик в качестве обеспечения исполнения контрактов принимает банковские гарантии, выданные банками, включенными в предусмотренный статьей 74.1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pPr>
        <w:pStyle w:val="Style17"/>
        <w:numPr>
          <w:ilvl w:val="0"/>
          <w:numId w:val="23"/>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Банковская гарантия должна быть безотзывной и должна содержать:</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сумму банковской гарантии, подлежащую уплате гарантом заказчику в установленных</w:t>
      </w:r>
      <w:r>
        <w:fldChar w:fldCharType="begin"/>
      </w:r>
      <w:r>
        <w:rPr>
          <w:color w:val="000000"/>
        </w:rPr>
        <w:instrText> HYPERLINK "file:///C:/Users/to82-muravyev/Documents/Work/2017_GosZakupki/2017_РЁР°Р±Р»РѕРЅС‹/РЁР°Р±Р»РѕРЅС‹-44Р¤Р—/Р­Р»РµРєС‚СЂРѕРЅРЅС‹Р№%20Р°СѓРєС†РёРѕРЅ/РљРѕРЅС‚СЂР°РєС‚%20-%20СЂР°Р·РјРµСЂ%20РѕР±РµСЃРїРµС‡РµРЅРёСЏ%20РёСЃРїРѕР»%20РєРѕРЅС‚СЂР°РєС‚Р°.docx%23Par861" </w:instrText>
      </w:r>
      <w:r>
        <w:fldChar w:fldCharType="separate"/>
      </w:r>
      <w:r>
        <w:rPr>
          <w:rStyle w:val="Hyperlink"/>
          <w:lang w:val="ru-RU" w:eastAsia="ru-RU" w:bidi="ru-RU"/>
          <w:w w:val="100"/>
          <w:spacing w:val="0"/>
          <w:position w:val="0"/>
        </w:rPr>
        <w:t xml:space="preserve"> </w:t>
      </w:r>
      <w:r>
        <w:rPr>
          <w:rStyle w:val="Hyperlink"/>
        </w:rPr>
        <w:t>частью 13 статьи 44</w:t>
      </w:r>
      <w:r>
        <w:rPr>
          <w:rStyle w:val="Hyperlink"/>
        </w:rPr>
        <w:t xml:space="preserve"> </w:t>
      </w:r>
      <w:r>
        <w:fldChar w:fldCharType="end"/>
      </w:r>
      <w:r>
        <w:rPr>
          <w:lang w:val="ru-RU" w:eastAsia="ru-RU" w:bidi="ru-RU"/>
          <w:w w:val="100"/>
          <w:spacing w:val="0"/>
          <w:color w:val="000000"/>
          <w:position w:val="0"/>
        </w:rPr>
        <w:t>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w:t>
      </w:r>
      <w:r>
        <w:fldChar w:fldCharType="begin"/>
      </w:r>
      <w:r>
        <w:rPr>
          <w:color w:val="000000"/>
        </w:rPr>
        <w:instrText> HYPERLINK "file:///C:/Users/to82-muravyev/Documents/Work/2017_GosZakupki/2017_РЁР°Р±Р»РѕРЅС‹/РЁР°Р±Р»РѕРЅС‹-44Р¤Р—/Р­Р»РµРєС‚СЂРѕРЅРЅС‹Р№%20Р°СѓРєС†РёРѕРЅ/РљРѕРЅС‚СЂР°РєС‚%20-%20СЂР°Р·РјРµСЂ%20РѕР±РµСЃРїРµС‡РµРЅРёСЏ%20РёСЃРїРѕР»%20РєРѕРЅС‚СЂР°РєС‚Р°.docx%23Par2020" </w:instrText>
      </w:r>
      <w:r>
        <w:fldChar w:fldCharType="separate"/>
      </w:r>
      <w:r>
        <w:rPr>
          <w:rStyle w:val="Hyperlink"/>
          <w:lang w:val="ru-RU" w:eastAsia="ru-RU" w:bidi="ru-RU"/>
          <w:w w:val="100"/>
          <w:spacing w:val="0"/>
          <w:position w:val="0"/>
        </w:rPr>
        <w:t xml:space="preserve"> </w:t>
      </w:r>
      <w:r>
        <w:rPr>
          <w:rStyle w:val="Hyperlink"/>
        </w:rPr>
        <w:t>статьей 96</w:t>
      </w:r>
      <w:r>
        <w:rPr>
          <w:rStyle w:val="Hyperlink"/>
        </w:rPr>
        <w:t xml:space="preserve"> </w:t>
      </w:r>
      <w:r>
        <w:fldChar w:fldCharType="end"/>
      </w:r>
      <w:r>
        <w:rPr>
          <w:lang w:val="ru-RU" w:eastAsia="ru-RU" w:bidi="ru-RU"/>
          <w:w w:val="100"/>
          <w:spacing w:val="0"/>
          <w:color w:val="000000"/>
          <w:position w:val="0"/>
        </w:rPr>
        <w:t>Федерального закона № 44-ФЗ;</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обязательства принципала, надлежащее исполнение которых обеспечивается банковской гарантией;</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обязанность гаранта уплатить заказчику неустойку в размере 0,1 процента денежной суммы, подлежащей уплате, за каждый день просрочки;</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срок действия банковской гарантии с учетом требований </w:t>
      </w:r>
      <w:r>
        <w:fldChar w:fldCharType="begin"/>
      </w:r>
      <w:r>
        <w:rPr>
          <w:rStyle w:val="CharStyle43"/>
        </w:rPr>
        <w:instrText> HYPERLINK "file:///C:/Users/to82-muravyev/Documents/Work/2017_GosZakupki/2017_РЁР°Р±Р»РѕРЅС‹/РЁР°Р±Р»РѕРЅС‹-44Р¤Р—/Р­Р»РµРєС‚СЂРѕРЅРЅС‹Р№%20Р°СѓРєС†РёРѕРЅ/РљРѕРЅС‚СЂР°РєС‚%20-%20СЂР°Р·РјРµСЂ%20РѕР±РµСЃРїРµС‡РµРЅРёСЏ%20РёСЃРїРѕР»%20РєРѕРЅС‚СЂР°РєС‚Р°.docx%23Par836" </w:instrText>
      </w:r>
      <w:r>
        <w:fldChar w:fldCharType="separate"/>
      </w:r>
      <w:r>
        <w:rPr>
          <w:rStyle w:val="Hyperlink"/>
        </w:rPr>
        <w:t>статей 44</w:t>
      </w:r>
      <w:r>
        <w:rPr>
          <w:rStyle w:val="Hyperlink"/>
        </w:rPr>
        <w:t xml:space="preserve"> </w:t>
      </w:r>
      <w:r>
        <w:fldChar w:fldCharType="end"/>
      </w:r>
      <w:r>
        <w:rPr>
          <w:lang w:val="ru-RU" w:eastAsia="ru-RU" w:bidi="ru-RU"/>
          <w:w w:val="100"/>
          <w:spacing w:val="0"/>
          <w:color w:val="000000"/>
          <w:position w:val="0"/>
        </w:rPr>
        <w:t>и</w:t>
      </w:r>
      <w:r>
        <w:fldChar w:fldCharType="begin"/>
      </w:r>
      <w:r>
        <w:rPr>
          <w:color w:val="000000"/>
        </w:rPr>
        <w:instrText> HYPERLINK "file:///C:/Users/to82-muravyev/Documents/Work/2017_GosZakupki/2017_РЁР°Р±Р»РѕРЅС‹/РЁР°Р±Р»РѕРЅС‹-44Р¤Р—/Р­Р»РµРєС‚СЂРѕРЅРЅС‹Р№%20Р°СѓРєС†РёРѕРЅ/РљРѕРЅС‚СЂР°РєС‚%20-%20СЂР°Р·РјРµСЂ%20РѕР±РµСЃРїРµС‡РµРЅРёСЏ%20РёСЃРїРѕР»%20РєРѕРЅС‚СЂР°РєС‚Р°.docx%23Par2020" </w:instrText>
      </w:r>
      <w:r>
        <w:fldChar w:fldCharType="separate"/>
      </w:r>
      <w:r>
        <w:rPr>
          <w:rStyle w:val="Hyperlink"/>
          <w:lang w:val="ru-RU" w:eastAsia="ru-RU" w:bidi="ru-RU"/>
          <w:w w:val="100"/>
          <w:spacing w:val="0"/>
          <w:position w:val="0"/>
        </w:rPr>
        <w:t xml:space="preserve"> </w:t>
      </w:r>
      <w:r>
        <w:rPr>
          <w:rStyle w:val="Hyperlink"/>
        </w:rPr>
        <w:t xml:space="preserve">96 </w:t>
      </w:r>
      <w:r>
        <w:fldChar w:fldCharType="end"/>
      </w:r>
      <w:r>
        <w:rPr>
          <w:lang w:val="ru-RU" w:eastAsia="ru-RU" w:bidi="ru-RU"/>
          <w:w w:val="100"/>
          <w:spacing w:val="0"/>
          <w:color w:val="000000"/>
          <w:position w:val="0"/>
        </w:rPr>
        <w:t>Федерального закона № 44-ФЗ;</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pPr>
        <w:pStyle w:val="Style17"/>
        <w:numPr>
          <w:ilvl w:val="0"/>
          <w:numId w:val="7"/>
        </w:numPr>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 xml:space="preserve">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pPr>
        <w:pStyle w:val="Style17"/>
        <w:numPr>
          <w:ilvl w:val="0"/>
          <w:numId w:val="23"/>
        </w:numPr>
        <w:widowControl w:val="0"/>
        <w:keepNext w:val="0"/>
        <w:keepLines w:val="0"/>
        <w:shd w:val="clear" w:color="auto" w:fill="auto"/>
        <w:bidi w:val="0"/>
        <w:spacing w:before="0" w:after="0" w:line="317" w:lineRule="exact"/>
        <w:ind w:left="20" w:right="20" w:firstLine="0"/>
        <w:sectPr>
          <w:pgSz w:w="16838" w:h="23810"/>
          <w:pgMar w:top="4696" w:left="7108" w:right="3330" w:bottom="4168" w:header="0" w:footer="3" w:gutter="0"/>
          <w:rtlGutter w:val="0"/>
          <w:cols w:space="720"/>
          <w:noEndnote/>
          <w:docGrid w:linePitch="360"/>
        </w:sectPr>
      </w:pPr>
      <w:r>
        <w:rPr>
          <w:lang w:val="ru-RU" w:eastAsia="ru-RU" w:bidi="ru-RU"/>
          <w:w w:val="100"/>
          <w:spacing w:val="0"/>
          <w:color w:val="000000"/>
          <w:position w:val="0"/>
        </w:rPr>
        <w:t>Условие о праве Государственного заказчика на бесспорное списание денежных средств со счета гаранта, если гарантом в</w:t>
      </w:r>
    </w:p>
    <w:p>
      <w:pPr>
        <w:pStyle w:val="Style17"/>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17"/>
        <w:numPr>
          <w:ilvl w:val="0"/>
          <w:numId w:val="23"/>
        </w:numPr>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 xml:space="preserve">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pPr>
        <w:pStyle w:val="Style17"/>
        <w:numPr>
          <w:ilvl w:val="0"/>
          <w:numId w:val="23"/>
        </w:numPr>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Государственный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pPr>
        <w:pStyle w:val="Style17"/>
        <w:numPr>
          <w:ilvl w:val="0"/>
          <w:numId w:val="23"/>
        </w:numPr>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 xml:space="preserve"> Основанием для отказа в принятии банковской гарантии заказчиком является:</w:t>
      </w:r>
    </w:p>
    <w:p>
      <w:pPr>
        <w:pStyle w:val="Style17"/>
        <w:numPr>
          <w:ilvl w:val="0"/>
          <w:numId w:val="25"/>
        </w:numPr>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 xml:space="preserve"> несоответствие банковской гарантии условиям, указанным в статье 45 Федерального закона № 44-ФЗ;</w:t>
      </w:r>
    </w:p>
    <w:p>
      <w:pPr>
        <w:pStyle w:val="Style17"/>
        <w:numPr>
          <w:ilvl w:val="0"/>
          <w:numId w:val="25"/>
        </w:numPr>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17"/>
        <w:numPr>
          <w:ilvl w:val="0"/>
          <w:numId w:val="23"/>
        </w:numPr>
        <w:widowControl w:val="0"/>
        <w:keepNext w:val="0"/>
        <w:keepLines w:val="0"/>
        <w:shd w:val="clear" w:color="auto" w:fill="auto"/>
        <w:bidi w:val="0"/>
        <w:spacing w:before="0" w:after="0" w:line="317" w:lineRule="exact"/>
        <w:ind w:left="3800" w:right="20" w:firstLine="0"/>
      </w:pPr>
      <w:r>
        <w:rPr>
          <w:lang w:val="ru-RU" w:eastAsia="ru-RU" w:bidi="ru-RU"/>
          <w:w w:val="100"/>
          <w:spacing w:val="0"/>
          <w:color w:val="000000"/>
          <w:position w:val="0"/>
        </w:rPr>
        <w:t xml:space="preserve"> В случае отказа в принятии банковской гарантии заказчик в срок, установленный Федеральным законом № 44-ФЗ,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pPr>
        <w:pStyle w:val="Style17"/>
        <w:widowControl w:val="0"/>
        <w:keepNext w:val="0"/>
        <w:keepLines w:val="0"/>
        <w:shd w:val="clear" w:color="auto" w:fill="auto"/>
        <w:bidi w:val="0"/>
        <w:jc w:val="left"/>
        <w:spacing w:before="0" w:after="0" w:line="317" w:lineRule="exact"/>
        <w:ind w:left="3800" w:right="960" w:firstLine="0"/>
      </w:pPr>
      <w:r>
        <w:rPr>
          <w:rStyle w:val="CharStyle42"/>
        </w:rPr>
        <w:t xml:space="preserve">Банковские реквизиты для перечисления средств обеспечения исполнения контракта </w:t>
      </w:r>
      <w:r>
        <w:rPr>
          <w:lang w:val="ru-RU" w:eastAsia="ru-RU" w:bidi="ru-RU"/>
          <w:w w:val="100"/>
          <w:spacing w:val="0"/>
          <w:color w:val="000000"/>
          <w:position w:val="0"/>
        </w:rPr>
        <w:t>Получатель: Министерство курортов и туризма Республики Крым Наименование банка: УФК по Республике Крым Расчетный счет: 40302810435102000284 Лицевой счет: 05752202970 БИК: 043510001 ИНН: 9102015531 КПП: 910201001</w:t>
      </w:r>
    </w:p>
    <w:p>
      <w:pPr>
        <w:pStyle w:val="Style3"/>
        <w:tabs>
          <w:tab w:leader="none" w:pos="7906" w:val="center"/>
          <w:tab w:leader="none" w:pos="10172" w:val="right"/>
        </w:tabs>
        <w:widowControl w:val="0"/>
        <w:keepNext w:val="0"/>
        <w:keepLines w:val="0"/>
        <w:shd w:val="clear" w:color="auto" w:fill="auto"/>
        <w:bidi w:val="0"/>
        <w:jc w:val="both"/>
        <w:spacing w:before="0" w:after="0" w:line="317" w:lineRule="exact"/>
        <w:ind w:left="4340" w:right="0" w:firstLine="0"/>
      </w:pPr>
      <w:r>
        <w:rPr>
          <w:lang w:val="ru-RU" w:eastAsia="ru-RU" w:bidi="ru-RU"/>
          <w:w w:val="100"/>
          <w:spacing w:val="0"/>
          <w:color w:val="000000"/>
          <w:position w:val="0"/>
        </w:rPr>
        <w:t>Назначение платежа:</w:t>
        <w:tab/>
        <w:t>обеспечения</w:t>
        <w:tab/>
        <w:t>исполнения</w:t>
      </w:r>
    </w:p>
    <w:p>
      <w:pPr>
        <w:pStyle w:val="Style3"/>
        <w:tabs>
          <w:tab w:leader="underscore" w:pos="7914" w:val="left"/>
        </w:tabs>
        <w:widowControl w:val="0"/>
        <w:keepNext w:val="0"/>
        <w:keepLines w:val="0"/>
        <w:shd w:val="clear" w:color="auto" w:fill="auto"/>
        <w:bidi w:val="0"/>
        <w:jc w:val="both"/>
        <w:spacing w:before="0" w:after="596" w:line="317" w:lineRule="exact"/>
        <w:ind w:left="3800" w:right="20" w:firstLine="0"/>
      </w:pPr>
      <w:r>
        <w:rPr>
          <w:lang w:val="ru-RU" w:eastAsia="ru-RU" w:bidi="ru-RU"/>
          <w:w w:val="100"/>
          <w:spacing w:val="0"/>
          <w:color w:val="000000"/>
          <w:position w:val="0"/>
        </w:rPr>
        <w:t>контракта по результатам открытого аукциона в электронной форме №</w:t>
        <w:tab/>
      </w:r>
    </w:p>
    <w:p>
      <w:pPr>
        <w:pStyle w:val="Style7"/>
        <w:widowControl w:val="0"/>
        <w:keepNext w:val="0"/>
        <w:keepLines w:val="0"/>
        <w:shd w:val="clear" w:color="auto" w:fill="auto"/>
        <w:bidi w:val="0"/>
        <w:jc w:val="left"/>
        <w:spacing w:before="0" w:after="0"/>
        <w:ind w:left="0" w:right="0" w:firstLine="860"/>
      </w:pPr>
      <w:r>
        <w:rPr>
          <w:lang w:val="ru-RU" w:eastAsia="ru-RU" w:bidi="ru-RU"/>
          <w:w w:val="100"/>
          <w:spacing w:val="0"/>
          <w:color w:val="000000"/>
          <w:position w:val="0"/>
        </w:rPr>
        <w:t>.» (цитата документации об Аукционе).</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Таким образом, Заказчик в проекте контракта не указал требование о размере обеспечения исполнения контракта.</w:t>
      </w:r>
    </w:p>
    <w:p>
      <w:pPr>
        <w:pStyle w:val="Style7"/>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Данные действия Заказчика, выразившиеся в не указании в проекте контракта требования о размере обеспечения контракта, нарушают требования части 1 статьи 34, частей 1, 6 статьи 96 Закона о контрактной системе.</w:t>
      </w:r>
    </w:p>
    <w:p>
      <w:pPr>
        <w:pStyle w:val="Style7"/>
        <w:numPr>
          <w:ilvl w:val="1"/>
          <w:numId w:val="9"/>
        </w:numPr>
        <w:tabs>
          <w:tab w:leader="none" w:pos="141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96 Закона о контрактной системе исполнение контракта может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Указанная норма закреплена Заказчиком в информационной карте документации об Аукционе и проекте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Пунктом 3 статьи 425 Гражданского кодекса Российской Федерации</w:t>
        <w:br w:type="page"/>
        <w:t>установлено, что законом или договором может быть предусмотрено, что окончание срока действия договора влечет прекращение обязательств сторон по договору. Договор, в котором отсутствует такое условие, признается действующим до определенного в нем момента окончания исполнения сторонами обязательства.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со статьей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Срок может определяться также указанием на событие, которое должно неизбежно наступить.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Однако, в проекте контракта срок действия контракта Заказчиком не установлен.</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при выборе способа обеспечения контракта в виде предоставления банковской гарантии участнику закупки фактически не представляется возможным установить срок действия банковской гарантии, поскольку заказчиком изначально не установлен срок действия контракта.</w:t>
      </w:r>
    </w:p>
    <w:p>
      <w:pPr>
        <w:pStyle w:val="Style7"/>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Учитывая приведенное, действия Заказчик, не указавшего в проекте контракта срок действия контракта, что не позволяет участнику выбрать способ обеспечения контракта в виде предоставления банковской гарантии, в силу того, что участнику закупки фактически не представляется возможным установить срок действия банковской гарантии, нарушают требования части 3 статьи 96 Закона о контрактной системе.</w:t>
      </w:r>
    </w:p>
    <w:p>
      <w:pPr>
        <w:pStyle w:val="Style7"/>
        <w:widowControl w:val="0"/>
        <w:keepNext w:val="0"/>
        <w:keepLines w:val="0"/>
        <w:shd w:val="clear" w:color="auto" w:fill="auto"/>
        <w:bidi w:val="0"/>
        <w:jc w:val="both"/>
        <w:spacing w:before="0" w:after="229"/>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пунктами 3.30,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2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Признать Заказчика нарушившим требования частей 1, 5, 7, 8, 13 статьи 34, пунктов 2, 11 части 1 статьи 64, части 4 статьи 65, пункта 7 части 5 статьи 66, частей 1, 3, 6 статьи 96 Закона о контрактной системе, Правила №1042.</w:t>
      </w:r>
    </w:p>
    <w:p>
      <w:pPr>
        <w:pStyle w:val="Style7"/>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№06/12099.</w:t>
      </w:r>
    </w:p>
    <w:p>
      <w:pPr>
        <w:pStyle w:val="Style7"/>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tabs>
          <w:tab w:leader="none" w:pos="6171" w:val="left"/>
        </w:tabs>
        <w:widowControl w:val="0"/>
        <w:keepNext w:val="0"/>
        <w:keepLines w:val="0"/>
        <w:shd w:val="clear" w:color="auto" w:fill="auto"/>
        <w:bidi w:val="0"/>
        <w:jc w:val="both"/>
        <w:spacing w:before="0" w:after="0" w:line="260" w:lineRule="exact"/>
        <w:ind w:left="5780" w:right="0" w:firstLine="0"/>
        <w:sectPr>
          <w:type w:val="continuous"/>
          <w:pgSz w:w="16838" w:h="23810"/>
          <w:pgMar w:top="4913" w:left="3357" w:right="3256" w:bottom="4395" w:header="0" w:footer="3" w:gutter="0"/>
          <w:rtlGutter w:val="0"/>
          <w:cols w:space="720"/>
          <w:noEndnote/>
          <w:docGrid w:linePitch="360"/>
        </w:sectPr>
      </w:pPr>
      <w:r>
        <w:rPr>
          <w:lang w:val="ru-RU" w:eastAsia="ru-RU" w:bidi="ru-RU"/>
          <w:w w:val="100"/>
          <w:spacing w:val="0"/>
          <w:color w:val="000000"/>
          <w:position w:val="0"/>
        </w:rPr>
        <w:t>О.</w:t>
        <w:tab/>
        <w:t>А. Шалимова</w:t>
      </w: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45"/>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9"/>
        </w:numPr>
        <w:tabs>
          <w:tab w:leader="none" w:pos="1388" w:val="left"/>
        </w:tabs>
        <w:widowControl w:val="0"/>
        <w:keepNext w:val="0"/>
        <w:keepLines w:val="0"/>
        <w:shd w:val="clear" w:color="auto" w:fill="auto"/>
        <w:bidi w:val="0"/>
        <w:jc w:val="left"/>
        <w:spacing w:before="0" w:after="0" w:line="605" w:lineRule="exact"/>
        <w:ind w:left="0" w:right="2180" w:firstLine="0"/>
      </w:pPr>
      <w:r>
        <w:rPr>
          <w:lang w:val="ru-RU" w:eastAsia="ru-RU" w:bidi="ru-RU"/>
          <w:w w:val="100"/>
          <w:spacing w:val="0"/>
          <w:color w:val="000000"/>
          <w:position w:val="0"/>
        </w:rPr>
        <w:t xml:space="preserve">№06/12355 На </w:t>
      </w:r>
      <w:r>
        <w:rPr>
          <w:lang w:val="en-US" w:eastAsia="en-US" w:bidi="en-US"/>
          <w:w w:val="100"/>
          <w:spacing w:val="0"/>
          <w:color w:val="000000"/>
          <w:position w:val="0"/>
        </w:rPr>
        <w:t xml:space="preserve">№ </w:t>
      </w:r>
      <w:r>
        <w:rPr>
          <w:lang w:val="ru-RU" w:eastAsia="ru-RU" w:bidi="ru-RU"/>
          <w:w w:val="100"/>
          <w:spacing w:val="0"/>
          <w:color w:val="000000"/>
          <w:position w:val="0"/>
        </w:rPr>
        <w:t>б/н, б/д</w:t>
      </w:r>
    </w:p>
    <w:p>
      <w:pPr>
        <w:pStyle w:val="Style7"/>
        <w:numPr>
          <w:ilvl w:val="0"/>
          <w:numId w:val="31"/>
        </w:numPr>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Межрегиональное Управление Федеральной службы по надзору в сфере защиты прав потребителей и благополучия человека по Республике Крым и городу федерального значения Севастополю</w:t>
      </w:r>
    </w:p>
    <w:p>
      <w:pPr>
        <w:pStyle w:val="Style7"/>
        <w:widowControl w:val="0"/>
        <w:keepNext w:val="0"/>
        <w:keepLines w:val="0"/>
        <w:shd w:val="clear" w:color="auto" w:fill="auto"/>
        <w:bidi w:val="0"/>
        <w:jc w:val="left"/>
        <w:spacing w:before="0" w:after="240"/>
        <w:ind w:left="20" w:right="0" w:firstLine="0"/>
      </w:pPr>
      <w:r>
        <w:rPr>
          <w:lang w:val="en-US" w:eastAsia="en-US" w:bidi="en-US"/>
          <w:w w:val="100"/>
          <w:spacing w:val="0"/>
          <w:color w:val="000000"/>
          <w:position w:val="0"/>
        </w:rPr>
        <w:t xml:space="preserve">295034, </w:t>
      </w:r>
      <w:r>
        <w:rPr>
          <w:lang w:val="ru-RU" w:eastAsia="ru-RU" w:bidi="ru-RU"/>
          <w:w w:val="100"/>
          <w:spacing w:val="0"/>
          <w:color w:val="000000"/>
          <w:position w:val="0"/>
        </w:rPr>
        <w:t xml:space="preserve">Республика Крым, г. Симферополь, ул. Набережная, д. </w:t>
      </w:r>
      <w:r>
        <w:rPr>
          <w:lang w:val="en-US" w:eastAsia="en-US" w:bidi="en-US"/>
          <w:w w:val="100"/>
          <w:spacing w:val="0"/>
          <w:color w:val="000000"/>
          <w:position w:val="0"/>
        </w:rPr>
        <w:t>67</w:t>
      </w:r>
    </w:p>
    <w:p>
      <w:pPr>
        <w:pStyle w:val="Style7"/>
        <w:numPr>
          <w:ilvl w:val="0"/>
          <w:numId w:val="31"/>
        </w:numPr>
        <w:widowControl w:val="0"/>
        <w:keepNext w:val="0"/>
        <w:keepLines w:val="0"/>
        <w:shd w:val="clear" w:color="auto" w:fill="auto"/>
        <w:bidi w:val="0"/>
        <w:jc w:val="left"/>
        <w:spacing w:before="0" w:after="0"/>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Индивидуальный предприниматель Иотова Алёна Владимировна </w:t>
      </w:r>
      <w:r>
        <w:rPr>
          <w:lang w:val="en-US" w:eastAsia="en-US" w:bidi="en-US"/>
          <w:w w:val="100"/>
          <w:spacing w:val="0"/>
          <w:color w:val="000000"/>
          <w:position w:val="0"/>
        </w:rPr>
        <w:t xml:space="preserve">295026, </w:t>
      </w:r>
      <w:r>
        <w:rPr>
          <w:lang w:val="ru-RU" w:eastAsia="ru-RU" w:bidi="ru-RU"/>
          <w:w w:val="100"/>
          <w:spacing w:val="0"/>
          <w:color w:val="000000"/>
          <w:position w:val="0"/>
        </w:rPr>
        <w:t>Республика Крым,</w:t>
      </w:r>
    </w:p>
    <w:p>
      <w:pPr>
        <w:pStyle w:val="Style7"/>
        <w:tabs>
          <w:tab w:leader="none" w:pos="306" w:val="left"/>
        </w:tabs>
        <w:widowControl w:val="0"/>
        <w:keepNext w:val="0"/>
        <w:keepLines w:val="0"/>
        <w:shd w:val="clear" w:color="auto" w:fill="auto"/>
        <w:bidi w:val="0"/>
        <w:jc w:val="left"/>
        <w:spacing w:before="0" w:after="0"/>
        <w:ind w:left="20" w:right="0" w:firstLine="0"/>
        <w:sectPr>
          <w:pgSz w:w="16838" w:h="23810"/>
          <w:pgMar w:top="5218" w:left="3259" w:right="3590" w:bottom="4402" w:header="0" w:footer="3" w:gutter="0"/>
          <w:rtlGutter w:val="0"/>
          <w:cols w:num="2" w:space="139"/>
          <w:noEndnote/>
          <w:docGrid w:linePitch="360"/>
        </w:sectPr>
      </w:pPr>
      <w:r>
        <w:rPr>
          <w:lang w:val="ru-RU" w:eastAsia="ru-RU" w:bidi="ru-RU"/>
          <w:w w:val="100"/>
          <w:spacing w:val="0"/>
          <w:color w:val="000000"/>
          <w:position w:val="0"/>
        </w:rPr>
        <w:t>г.</w:t>
        <w:tab/>
        <w:t xml:space="preserve">Симферополь, ул. Гагарина, д. </w:t>
      </w:r>
      <w:r>
        <w:rPr>
          <w:lang w:val="en-US" w:eastAsia="en-US" w:bidi="en-US"/>
          <w:w w:val="100"/>
          <w:spacing w:val="0"/>
          <w:color w:val="000000"/>
          <w:position w:val="0"/>
        </w:rPr>
        <w:t xml:space="preserve">26, </w:t>
      </w:r>
      <w:r>
        <w:rPr>
          <w:lang w:val="ru-RU" w:eastAsia="ru-RU" w:bidi="ru-RU"/>
          <w:w w:val="100"/>
          <w:spacing w:val="0"/>
          <w:color w:val="000000"/>
          <w:position w:val="0"/>
        </w:rPr>
        <w:t xml:space="preserve">кв. </w:t>
      </w:r>
      <w:r>
        <w:rPr>
          <w:lang w:val="en-US" w:eastAsia="en-US" w:bidi="en-US"/>
          <w:w w:val="100"/>
          <w:spacing w:val="0"/>
          <w:color w:val="000000"/>
          <w:position w:val="0"/>
        </w:rPr>
        <w:t>38</w:t>
      </w:r>
    </w:p>
    <w:p>
      <w:pPr>
        <w:widowControl w:val="0"/>
        <w:spacing w:before="37" w:after="37"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7"/>
        <w:numPr>
          <w:ilvl w:val="0"/>
          <w:numId w:val="31"/>
        </w:numPr>
        <w:tabs>
          <w:tab w:leader="none" w:pos="5350" w:val="left"/>
        </w:tabs>
        <w:widowControl w:val="0"/>
        <w:keepNext w:val="0"/>
        <w:keepLines w:val="0"/>
        <w:shd w:val="clear" w:color="auto" w:fill="auto"/>
        <w:bidi w:val="0"/>
        <w:jc w:val="left"/>
        <w:spacing w:before="0" w:after="0"/>
        <w:ind w:left="4980" w:right="220" w:firstLine="0"/>
      </w:pPr>
      <w:r>
        <w:rPr>
          <w:lang w:val="ru-RU" w:eastAsia="ru-RU" w:bidi="ru-RU"/>
          <w:w w:val="100"/>
          <w:spacing w:val="0"/>
          <w:color w:val="000000"/>
          <w:position w:val="0"/>
        </w:rPr>
        <w:t>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119435, г. Москва,</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Большой Саввинский переулок,</w:t>
      </w:r>
    </w:p>
    <w:p>
      <w:pPr>
        <w:pStyle w:val="Style7"/>
        <w:tabs>
          <w:tab w:leader="none" w:pos="5350" w:val="left"/>
        </w:tabs>
        <w:widowControl w:val="0"/>
        <w:keepNext w:val="0"/>
        <w:keepLines w:val="0"/>
        <w:shd w:val="clear" w:color="auto" w:fill="auto"/>
        <w:bidi w:val="0"/>
        <w:jc w:val="both"/>
        <w:spacing w:before="0" w:after="60"/>
        <w:ind w:left="4980" w:right="0" w:firstLine="0"/>
      </w:pPr>
      <w:r>
        <w:rPr>
          <w:lang w:val="ru-RU" w:eastAsia="ru-RU" w:bidi="ru-RU"/>
          <w:w w:val="100"/>
          <w:spacing w:val="0"/>
          <w:color w:val="000000"/>
          <w:position w:val="0"/>
        </w:rPr>
        <w:t>д.</w:t>
        <w:tab/>
        <w:t>12, строение 9</w:t>
      </w:r>
    </w:p>
    <w:p>
      <w:pPr>
        <w:pStyle w:val="Style11"/>
        <w:widowControl w:val="0"/>
        <w:keepNext w:val="0"/>
        <w:keepLines w:val="0"/>
        <w:shd w:val="clear" w:color="auto" w:fill="auto"/>
        <w:bidi w:val="0"/>
        <w:jc w:val="left"/>
        <w:spacing w:before="0" w:after="289"/>
        <w:ind w:left="840" w:right="0" w:firstLine="3440"/>
      </w:pPr>
      <w:r>
        <w:rPr>
          <w:lang w:val="ru-RU" w:eastAsia="ru-RU" w:bidi="ru-RU"/>
          <w:w w:val="100"/>
          <w:spacing w:val="0"/>
          <w:color w:val="000000"/>
          <w:position w:val="0"/>
        </w:rPr>
        <w:t>Предписание по делу №06/4086-17 об устранении нарушений законодательства Российской Федерации о контрактной системе в сфере закупок</w:t>
      </w:r>
    </w:p>
    <w:p>
      <w:pPr>
        <w:pStyle w:val="Style7"/>
        <w:framePr w:h="240" w:vSpace="317" w:wrap="around" w:vAnchor="text" w:hAnchor="margin" w:x="182" w:y="6"/>
        <w:widowControl w:val="0"/>
        <w:keepNext w:val="0"/>
        <w:keepLines w:val="0"/>
        <w:shd w:val="clear" w:color="auto" w:fill="auto"/>
        <w:bidi w:val="0"/>
        <w:jc w:val="left"/>
        <w:spacing w:before="0" w:after="0" w:line="240" w:lineRule="exact"/>
        <w:ind w:left="100" w:right="0" w:firstLine="0"/>
      </w:pPr>
      <w:r>
        <w:rPr>
          <w:rStyle w:val="CharStyle8"/>
          <w:spacing w:val="0"/>
        </w:rPr>
        <w:t>30.10.2017</w:t>
      </w:r>
    </w:p>
    <w:p>
      <w:pPr>
        <w:pStyle w:val="Style7"/>
        <w:widowControl w:val="0"/>
        <w:keepNext w:val="0"/>
        <w:keepLines w:val="0"/>
        <w:shd w:val="clear" w:color="auto" w:fill="auto"/>
        <w:bidi w:val="0"/>
        <w:jc w:val="right"/>
        <w:spacing w:before="0" w:after="193" w:line="260" w:lineRule="exact"/>
        <w:ind w:left="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236"/>
        <w:ind w:left="0" w:right="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47"/>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248" w:line="326" w:lineRule="exact"/>
        <w:ind w:left="0" w:right="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r>
        <w:br w:type="page"/>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289"/>
        <w:ind w:left="20" w:right="20" w:firstLine="860"/>
      </w:pPr>
      <w:r>
        <w:rPr>
          <w:lang w:val="ru-RU" w:eastAsia="ru-RU" w:bidi="ru-RU"/>
          <w:w w:val="100"/>
          <w:spacing w:val="0"/>
          <w:color w:val="000000"/>
          <w:position w:val="0"/>
        </w:rPr>
        <w:t>на основании решения Комиссии от 30.10.2017 по делу №06/4086-17 по итогам рассмотрения жалобы Заявителя б/д, б/н (вх. №1412/10 от 24.10.2017) на действия Заказчика при проведении электронного аукциона «Поставка канцелярских товаров» (номер извещения 0175100002517000026) (далее — Аукцион), в соответствии с частью 22 статьи 99, частью 8 статьи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3"/>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183" w:line="260" w:lineRule="exact"/>
        <w:ind w:left="4360" w:right="0" w:firstLine="0"/>
      </w:pPr>
      <w:r>
        <w:rPr>
          <w:lang w:val="ru-RU" w:eastAsia="ru-RU" w:bidi="ru-RU"/>
          <w:w w:val="100"/>
          <w:spacing w:val="0"/>
          <w:color w:val="000000"/>
          <w:position w:val="0"/>
        </w:rPr>
        <w:t>ПРЕДПИСЫВАЕТ:</w:t>
      </w:r>
    </w:p>
    <w:p>
      <w:pPr>
        <w:pStyle w:val="Style7"/>
        <w:numPr>
          <w:ilvl w:val="0"/>
          <w:numId w:val="3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включить в государственный контракт сроки приемки Заказчиком поставленных товаров, надлежащее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размер обеспечения исполнения контракта, срок действия контракта в соответствии с положениями законодательства Российской Федерации о контрактной системе в сфере закупок и с учетом решения от 30.10.2017 по делу №06/4086-17.</w:t>
      </w:r>
    </w:p>
    <w:p>
      <w:pPr>
        <w:pStyle w:val="Style7"/>
        <w:numPr>
          <w:ilvl w:val="0"/>
          <w:numId w:val="33"/>
        </w:numPr>
        <w:widowControl w:val="0"/>
        <w:keepNext w:val="0"/>
        <w:keepLines w:val="0"/>
        <w:shd w:val="clear" w:color="auto" w:fill="auto"/>
        <w:bidi w:val="0"/>
        <w:jc w:val="both"/>
        <w:spacing w:before="0" w:after="244"/>
        <w:ind w:left="20" w:right="20" w:firstLine="860"/>
      </w:pPr>
      <w:r>
        <w:rPr>
          <w:lang w:val="ru-RU" w:eastAsia="ru-RU" w:bidi="ru-RU"/>
          <w:w w:val="100"/>
          <w:spacing w:val="0"/>
          <w:color w:val="000000"/>
          <w:position w:val="0"/>
        </w:rPr>
        <w:t xml:space="preserve"> Заказчику в срок до 24.11.2017 исполнить настоящее предписание и предоставить в Крымское </w:t>
      </w:r>
      <w:r>
        <w:rPr>
          <w:rStyle w:val="CharStyle47"/>
        </w:rPr>
        <w:t>УФАС</w:t>
      </w:r>
      <w:r>
        <w:rPr>
          <w:lang w:val="ru-RU" w:eastAsia="ru-RU" w:bidi="ru-RU"/>
          <w:w w:val="100"/>
          <w:spacing w:val="0"/>
          <w:color w:val="000000"/>
          <w:position w:val="0"/>
        </w:rPr>
        <w:t xml:space="preserve">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 @fas .gov.ru</w:t>
      </w:r>
      <w:r>
        <w:rPr>
          <w:rStyle w:val="Hyperlink"/>
          <w:lang w:val="en-US" w:eastAsia="en-US" w:bidi="en-US"/>
          <w:w w:val="100"/>
          <w:spacing w:val="0"/>
          <w:position w:val="0"/>
        </w:rPr>
        <w:t>.</w:t>
      </w:r>
      <w:r>
        <w:fldChar w:fldCharType="end"/>
      </w:r>
    </w:p>
    <w:p>
      <w:pPr>
        <w:pStyle w:val="Style7"/>
        <w:numPr>
          <w:ilvl w:val="0"/>
          <w:numId w:val="33"/>
        </w:numPr>
        <w:widowControl w:val="0"/>
        <w:keepNext w:val="0"/>
        <w:keepLines w:val="0"/>
        <w:shd w:val="clear" w:color="auto" w:fill="auto"/>
        <w:bidi w:val="0"/>
        <w:jc w:val="both"/>
        <w:spacing w:before="0" w:after="56" w:line="317" w:lineRule="exact"/>
        <w:ind w:left="20" w:right="20" w:firstLine="860"/>
      </w:pPr>
      <w:r>
        <w:rPr>
          <w:lang w:val="en-US" w:eastAsia="en-US" w:bidi="en-US"/>
          <w:w w:val="100"/>
          <w:spacing w:val="0"/>
          <w:color w:val="000000"/>
          <w:position w:val="0"/>
        </w:rPr>
        <w:t xml:space="preserve"> </w:t>
      </w:r>
      <w:r>
        <w:rPr>
          <w:lang w:val="ru-RU" w:eastAsia="ru-RU" w:bidi="ru-RU"/>
          <w:w w:val="100"/>
          <w:spacing w:val="0"/>
          <w:color w:val="000000"/>
          <w:position w:val="0"/>
        </w:rPr>
        <w:t>Прекратить действие уведомления о поступлении жалобы и приостановлении торгов от 25.10.2017 №06/12099.</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w:t>
      </w:r>
    </w:p>
    <w:p>
      <w:pPr>
        <w:pStyle w:val="Style7"/>
        <w:widowControl w:val="0"/>
        <w:keepNext w:val="0"/>
        <w:keepLines w:val="0"/>
        <w:shd w:val="clear" w:color="auto" w:fill="auto"/>
        <w:bidi w:val="0"/>
        <w:jc w:val="left"/>
        <w:spacing w:before="0" w:after="343"/>
        <w:ind w:left="0" w:right="280" w:firstLine="0"/>
      </w:pPr>
      <w:r>
        <w:rPr>
          <w:lang w:val="ru-RU" w:eastAsia="ru-RU" w:bidi="ru-RU"/>
          <w:w w:val="100"/>
          <w:spacing w:val="0"/>
          <w:color w:val="000000"/>
          <w:position w:val="0"/>
        </w:rPr>
        <w:t>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50" w:val="right"/>
          <w:tab w:leader="none" w:pos="8386" w:val="right"/>
          <w:tab w:leader="none" w:pos="963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3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9638" w:val="right"/>
          <w:tab w:leader="none" w:pos="8376" w:val="right"/>
          <w:tab w:leader="none" w:pos="973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 Комиссии:</w:t>
        <w:tab/>
        <w:t>О.</w:t>
        <w:tab/>
        <w:t>А.</w:t>
        <w:tab/>
        <w:t>Шалимова</w:t>
      </w:r>
    </w:p>
    <w:sectPr>
      <w:type w:val="continuous"/>
      <w:pgSz w:w="16838" w:h="23810"/>
      <w:pgMar w:top="4942" w:left="3254" w:right="3124" w:bottom="43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2">
    <w:multiLevelType w:val="multilevel"/>
    <w:lvl w:ilvl="0">
      <w:start w:val="2"/>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4">
    <w:multiLevelType w:val="multilevel"/>
    <w:lvl w:ilvl="0">
      <w:start w:val="2"/>
      <w:numFmt w:val="decimal"/>
      <w:lvlText w:val="%1)"/>
      <w:rPr>
        <w:lang w:val="ru-RU" w:eastAsia="ru-RU" w:bidi="ru-RU"/>
        <w:b/>
        <w:bCs/>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en-US" w:eastAsia="en-US" w:bidi="en-US"/>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ru-RU" w:eastAsia="ru-RU" w:bidi="ru-RU"/>
      <w:u w:val="single"/>
      <w:w w:val="100"/>
      <w:spacing w:val="0"/>
      <w:color w:val="000000"/>
      <w:position w:val="0"/>
    </w:rPr>
  </w:style>
  <w:style w:type="character" w:customStyle="1" w:styleId="CharStyle14">
    <w:name w:val="Основной текст"/>
    <w:basedOn w:val="CharStyle10"/>
    <w:rPr>
      <w:lang w:val="en-US" w:eastAsia="en-US" w:bidi="en-US"/>
      <w:u w:val="single"/>
      <w:w w:val="100"/>
      <w:spacing w:val="0"/>
      <w:color w:val="000000"/>
      <w:position w:val="0"/>
    </w:rPr>
  </w:style>
  <w:style w:type="character" w:customStyle="1" w:styleId="CharStyle15">
    <w:name w:val="Основной текст"/>
    <w:basedOn w:val="CharStyle10"/>
    <w:rPr>
      <w:lang w:val="en-US" w:eastAsia="en-US" w:bidi="en-US"/>
      <w:w w:val="100"/>
      <w:spacing w:val="0"/>
      <w:color w:val="000000"/>
      <w:position w:val="0"/>
    </w:rPr>
  </w:style>
  <w:style w:type="character" w:customStyle="1" w:styleId="CharStyle16">
    <w:name w:val="Основной текст"/>
    <w:basedOn w:val="CharStyle10"/>
    <w:rPr>
      <w:lang w:val="ru-RU" w:eastAsia="ru-RU" w:bidi="ru-RU"/>
      <w:u w:val="single"/>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5)"/>
    <w:basedOn w:val="CharStyle18"/>
    <w:rPr>
      <w:lang w:val="ru-RU" w:eastAsia="ru-RU" w:bidi="ru-RU"/>
      <w:u w:val="single"/>
      <w:w w:val="100"/>
      <w:spacing w:val="0"/>
      <w:color w:val="000000"/>
      <w:position w:val="0"/>
    </w:rPr>
  </w:style>
  <w:style w:type="character" w:customStyle="1" w:styleId="CharStyle20">
    <w:name w:val="Основной текст"/>
    <w:basedOn w:val="CharStyle10"/>
    <w:rPr>
      <w:lang w:val="ru-RU" w:eastAsia="ru-RU" w:bidi="ru-RU"/>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Подпись к таблице"/>
    <w:basedOn w:val="CharStyle22"/>
    <w:rPr>
      <w:lang w:val="ru-RU" w:eastAsia="ru-RU" w:bidi="ru-RU"/>
      <w:u w:val="single"/>
      <w:w w:val="100"/>
      <w:spacing w:val="0"/>
      <w:color w:val="000000"/>
      <w:position w:val="0"/>
    </w:rPr>
  </w:style>
  <w:style w:type="character" w:customStyle="1" w:styleId="CharStyle24">
    <w:name w:val="Основной текст + 11 pt,Полужирный"/>
    <w:basedOn w:val="CharStyle10"/>
    <w:rPr>
      <w:lang w:val="ru-RU" w:eastAsia="ru-RU" w:bidi="ru-RU"/>
      <w:b/>
      <w:bCs/>
      <w:sz w:val="22"/>
      <w:szCs w:val="22"/>
      <w:w w:val="100"/>
      <w:spacing w:val="0"/>
      <w:color w:val="000000"/>
      <w:position w:val="0"/>
    </w:rPr>
  </w:style>
  <w:style w:type="character" w:customStyle="1" w:styleId="CharStyle25">
    <w:name w:val="Основной текст + 11 pt"/>
    <w:basedOn w:val="CharStyle10"/>
    <w:rPr>
      <w:lang w:val="ru-RU" w:eastAsia="ru-RU" w:bidi="ru-RU"/>
      <w:sz w:val="22"/>
      <w:szCs w:val="22"/>
      <w:w w:val="100"/>
      <w:spacing w:val="0"/>
      <w:color w:val="000000"/>
      <w:position w:val="0"/>
    </w:rPr>
  </w:style>
  <w:style w:type="character" w:customStyle="1" w:styleId="CharStyle26">
    <w:name w:val="Основной текст + Интервал 1 pt"/>
    <w:basedOn w:val="CharStyle10"/>
    <w:rPr>
      <w:lang w:val="ru-RU" w:eastAsia="ru-RU" w:bidi="ru-RU"/>
      <w:w w:val="100"/>
      <w:spacing w:val="30"/>
      <w:color w:val="000000"/>
      <w:position w:val="0"/>
    </w:rPr>
  </w:style>
  <w:style w:type="character" w:customStyle="1" w:styleId="CharStyle27">
    <w:name w:val="Основной текст"/>
    <w:basedOn w:val="CharStyle10"/>
    <w:rPr>
      <w:lang w:val="ru-RU" w:eastAsia="ru-RU" w:bidi="ru-RU"/>
      <w:w w:val="100"/>
      <w:spacing w:val="0"/>
      <w:color w:val="000000"/>
      <w:position w:val="0"/>
    </w:rPr>
  </w:style>
  <w:style w:type="character" w:customStyle="1" w:styleId="CharStyle29">
    <w:name w:val="Заголовок №1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0">
    <w:name w:val="Заголовок №1 + 8 pt,Полужирный"/>
    <w:basedOn w:val="CharStyle29"/>
    <w:rPr>
      <w:lang w:val="ru-RU" w:eastAsia="ru-RU" w:bidi="ru-RU"/>
      <w:b/>
      <w:bCs/>
      <w:u w:val="single"/>
      <w:sz w:val="16"/>
      <w:szCs w:val="16"/>
      <w:w w:val="100"/>
      <w:spacing w:val="0"/>
      <w:color w:val="000000"/>
      <w:position w:val="0"/>
    </w:rPr>
  </w:style>
  <w:style w:type="character" w:customStyle="1" w:styleId="CharStyle31">
    <w:name w:val="Заголовок №1 + 8 pt,Полужирный"/>
    <w:basedOn w:val="CharStyle29"/>
    <w:rPr>
      <w:lang w:val="ru-RU" w:eastAsia="ru-RU" w:bidi="ru-RU"/>
      <w:b/>
      <w:bCs/>
      <w:sz w:val="16"/>
      <w:szCs w:val="16"/>
      <w:w w:val="100"/>
      <w:spacing w:val="0"/>
      <w:color w:val="000000"/>
      <w:position w:val="0"/>
    </w:rPr>
  </w:style>
  <w:style w:type="character" w:customStyle="1" w:styleId="CharStyle33">
    <w:name w:val="Основной текст (6)_"/>
    <w:basedOn w:val="DefaultParagraphFont"/>
    <w:link w:val="Style32"/>
    <w:rPr>
      <w:b w:val="0"/>
      <w:bCs w:val="0"/>
      <w:i/>
      <w:iCs/>
      <w:u w:val="none"/>
      <w:strike w:val="0"/>
      <w:smallCaps w:val="0"/>
      <w:sz w:val="15"/>
      <w:szCs w:val="15"/>
      <w:rFonts w:ascii="Times New Roman" w:eastAsia="Times New Roman" w:hAnsi="Times New Roman" w:cs="Times New Roman"/>
    </w:rPr>
  </w:style>
  <w:style w:type="character" w:customStyle="1" w:styleId="CharStyle35">
    <w:name w:val="Основной текст (7)_"/>
    <w:basedOn w:val="DefaultParagraphFont"/>
    <w:link w:val="Style34"/>
    <w:rPr>
      <w:b w:val="0"/>
      <w:bCs w:val="0"/>
      <w:i/>
      <w:iCs/>
      <w:u w:val="none"/>
      <w:strike w:val="0"/>
      <w:smallCaps w:val="0"/>
      <w:sz w:val="22"/>
      <w:szCs w:val="22"/>
      <w:rFonts w:ascii="Times New Roman" w:eastAsia="Times New Roman" w:hAnsi="Times New Roman" w:cs="Times New Roman"/>
    </w:rPr>
  </w:style>
  <w:style w:type="character" w:customStyle="1" w:styleId="CharStyle36">
    <w:name w:val="Основной текст (7) + Не курсив"/>
    <w:basedOn w:val="CharStyle35"/>
    <w:rPr>
      <w:lang w:val="ru-RU" w:eastAsia="ru-RU" w:bidi="ru-RU"/>
      <w:i/>
      <w:iCs/>
      <w:w w:val="100"/>
      <w:spacing w:val="0"/>
      <w:color w:val="000000"/>
      <w:position w:val="0"/>
    </w:rPr>
  </w:style>
  <w:style w:type="character" w:customStyle="1" w:styleId="CharStyle37">
    <w:name w:val="Заголовок №1 + 12 pt"/>
    <w:basedOn w:val="CharStyle29"/>
    <w:rPr>
      <w:lang w:val="ru-RU" w:eastAsia="ru-RU" w:bidi="ru-RU"/>
      <w:u w:val="single"/>
      <w:sz w:val="24"/>
      <w:szCs w:val="24"/>
      <w:w w:val="100"/>
      <w:spacing w:val="0"/>
      <w:color w:val="000000"/>
      <w:position w:val="0"/>
    </w:rPr>
  </w:style>
  <w:style w:type="character" w:customStyle="1" w:styleId="CharStyle38">
    <w:name w:val="Заголовок №1 + 12 pt"/>
    <w:basedOn w:val="CharStyle29"/>
    <w:rPr>
      <w:lang w:val="ru-RU" w:eastAsia="ru-RU" w:bidi="ru-RU"/>
      <w:sz w:val="24"/>
      <w:szCs w:val="24"/>
      <w:w w:val="100"/>
      <w:spacing w:val="0"/>
      <w:color w:val="000000"/>
      <w:position w:val="0"/>
    </w:rPr>
  </w:style>
  <w:style w:type="character" w:customStyle="1" w:styleId="CharStyle39">
    <w:name w:val="Основной текст + Интервал 1 pt"/>
    <w:basedOn w:val="CharStyle10"/>
    <w:rPr>
      <w:lang w:val="ru-RU" w:eastAsia="ru-RU" w:bidi="ru-RU"/>
      <w:w w:val="100"/>
      <w:spacing w:val="30"/>
      <w:color w:val="000000"/>
      <w:position w:val="0"/>
    </w:rPr>
  </w:style>
  <w:style w:type="character" w:customStyle="1" w:styleId="CharStyle4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41">
    <w:name w:val="Основной текст (2) + Не полужирный"/>
    <w:basedOn w:val="CharStyle9"/>
    <w:rPr>
      <w:lang w:val="ru-RU" w:eastAsia="ru-RU" w:bidi="ru-RU"/>
      <w:b/>
      <w:bCs/>
      <w:w w:val="100"/>
      <w:spacing w:val="0"/>
      <w:color w:val="000000"/>
      <w:position w:val="0"/>
    </w:rPr>
  </w:style>
  <w:style w:type="character" w:customStyle="1" w:styleId="CharStyle42">
    <w:name w:val="Основной текст (5) + Полужирный"/>
    <w:basedOn w:val="CharStyle18"/>
    <w:rPr>
      <w:lang w:val="ru-RU" w:eastAsia="ru-RU" w:bidi="ru-RU"/>
      <w:b/>
      <w:bCs/>
      <w:w w:val="100"/>
      <w:spacing w:val="0"/>
      <w:color w:val="000000"/>
      <w:position w:val="0"/>
    </w:rPr>
  </w:style>
  <w:style w:type="character" w:customStyle="1" w:styleId="CharStyle43">
    <w:name w:val="Основной текст (5)"/>
    <w:basedOn w:val="CharStyle18"/>
    <w:rPr>
      <w:lang w:val="ru-RU" w:eastAsia="ru-RU" w:bidi="ru-RU"/>
      <w:u w:val="single"/>
      <w:w w:val="100"/>
      <w:spacing w:val="0"/>
      <w:color w:val="000000"/>
      <w:position w:val="0"/>
    </w:rPr>
  </w:style>
  <w:style w:type="character" w:customStyle="1" w:styleId="CharStyle44">
    <w:name w:val="Основной текст (5)"/>
    <w:basedOn w:val="CharStyle18"/>
    <w:rPr>
      <w:lang w:val="ru-RU" w:eastAsia="ru-RU" w:bidi="ru-RU"/>
      <w:w w:val="100"/>
      <w:spacing w:val="0"/>
      <w:color w:val="000000"/>
      <w:position w:val="0"/>
    </w:rPr>
  </w:style>
  <w:style w:type="character" w:customStyle="1" w:styleId="CharStyle45">
    <w:name w:val="Основной текст (2)"/>
    <w:basedOn w:val="CharStyle9"/>
    <w:rPr>
      <w:lang w:val="ru-RU" w:eastAsia="ru-RU" w:bidi="ru-RU"/>
      <w:u w:val="single"/>
      <w:w w:val="100"/>
      <w:spacing w:val="0"/>
      <w:color w:val="000000"/>
      <w:position w:val="0"/>
    </w:rPr>
  </w:style>
  <w:style w:type="character" w:customStyle="1" w:styleId="CharStyle46">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47">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9"/>
    <w:pPr>
      <w:widowControl w:val="0"/>
      <w:shd w:val="clear" w:color="auto" w:fill="FFFFFF"/>
      <w:jc w:val="center"/>
      <w:spacing w:after="600"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4)"/>
    <w:basedOn w:val="Normal"/>
    <w:link w:val="CharStyle4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10"/>
    <w:pPr>
      <w:widowControl w:val="0"/>
      <w:shd w:val="clear" w:color="auto" w:fill="FFFFFF"/>
      <w:spacing w:before="6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both"/>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both"/>
      <w:outlineLvl w:val="0"/>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jc w:val="both"/>
      <w:spacing w:after="420" w:line="0" w:lineRule="exact"/>
    </w:pPr>
    <w:rPr>
      <w:b w:val="0"/>
      <w:bCs w:val="0"/>
      <w:i/>
      <w:iCs/>
      <w:u w:val="none"/>
      <w:strike w:val="0"/>
      <w:smallCaps w:val="0"/>
      <w:sz w:val="15"/>
      <w:szCs w:val="15"/>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before="420" w:after="180" w:line="278" w:lineRule="exact"/>
      <w:ind w:firstLine="300"/>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