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835" w:h="2350" w:wrap="around" w:hAnchor="margin" w:x="95" w:y="1247"/>
        <w:widowControl w:val="0"/>
        <w:keepNext w:val="0"/>
        <w:keepLines w:val="0"/>
        <w:shd w:val="clear" w:color="auto" w:fill="auto"/>
        <w:bidi w:val="0"/>
        <w:spacing w:before="0" w:after="180"/>
        <w:ind w:left="0" w:right="0" w:firstLine="0"/>
      </w:pPr>
      <w:r>
        <w:rPr>
          <w:lang w:val="ru-RU" w:eastAsia="ru-RU" w:bidi="ru-RU"/>
          <w:w w:val="100"/>
          <w:spacing w:val="0"/>
          <w:color w:val="000000"/>
          <w:position w:val="0"/>
        </w:rPr>
        <w:t>ФЕДЕРАЛЬНАЯ АНТИМОНОПОЛЬНАЯ СЛУЖБА</w:t>
      </w:r>
    </w:p>
    <w:p>
      <w:pPr>
        <w:pStyle w:val="Style3"/>
        <w:framePr w:w="4835" w:h="2350" w:wrap="around" w:hAnchor="margin" w:x="95" w:y="124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5"/>
        <w:framePr w:w="4835" w:h="2350" w:wrap="around" w:hAnchor="margin" w:x="95" w:y="1247"/>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1"/>
        </w:numPr>
        <w:widowControl w:val="0"/>
        <w:keepNext w:val="0"/>
        <w:keepLines w:val="0"/>
        <w:shd w:val="clear" w:color="auto" w:fill="auto"/>
        <w:bidi w:val="0"/>
        <w:jc w:val="left"/>
        <w:spacing w:before="955" w:after="0"/>
        <w:ind w:left="0" w:right="0" w:firstLine="0"/>
      </w:pPr>
      <w:r>
        <w:rPr>
          <w:lang w:val="ru-RU" w:eastAsia="ru-RU" w:bidi="ru-RU"/>
          <w:w w:val="100"/>
          <w:spacing w:val="0"/>
          <w:color w:val="000000"/>
          <w:position w:val="0"/>
        </w:rPr>
        <w:t xml:space="preserve"> Заказчик:</w:t>
      </w:r>
    </w:p>
    <w:p>
      <w:pPr>
        <w:pStyle w:val="Style7"/>
        <w:framePr w:w="2848" w:h="1122" w:wrap="around" w:vAnchor="text" w:hAnchor="margin" w:x="47" w:y="997"/>
        <w:widowControl w:val="0"/>
        <w:keepNext w:val="0"/>
        <w:keepLines w:val="0"/>
        <w:shd w:val="clear" w:color="auto" w:fill="auto"/>
        <w:bidi w:val="0"/>
        <w:jc w:val="both"/>
        <w:spacing w:before="0" w:after="0" w:line="562" w:lineRule="exact"/>
        <w:ind w:left="20" w:right="220" w:firstLine="0"/>
      </w:pPr>
      <w:r>
        <w:rPr>
          <w:rStyle w:val="CharStyle8"/>
          <w:spacing w:val="0"/>
        </w:rPr>
        <w:t>10.11.2017 №06/12893 На № б/н от 02.11.2017</w:t>
      </w:r>
    </w:p>
    <w:p>
      <w:pPr>
        <w:pStyle w:val="Style7"/>
        <w:widowControl w:val="0"/>
        <w:keepNext w:val="0"/>
        <w:keepLines w:val="0"/>
        <w:shd w:val="clear" w:color="auto" w:fill="auto"/>
        <w:bidi w:val="0"/>
        <w:jc w:val="left"/>
        <w:spacing w:before="0" w:after="0"/>
        <w:ind w:left="0" w:right="340" w:firstLine="0"/>
      </w:pPr>
      <w:r>
        <w:rPr>
          <w:lang w:val="ru-RU" w:eastAsia="ru-RU" w:bidi="ru-RU"/>
          <w:w w:val="100"/>
          <w:spacing w:val="0"/>
          <w:color w:val="000000"/>
          <w:position w:val="0"/>
        </w:rPr>
        <w:t>Государственное бюджетное учреждение здравоохранения Республики Крым «Центр профилактики и борьбы со СПИДом»</w:t>
      </w:r>
    </w:p>
    <w:p>
      <w:pPr>
        <w:pStyle w:val="Style7"/>
        <w:widowControl w:val="0"/>
        <w:keepNext w:val="0"/>
        <w:keepLines w:val="0"/>
        <w:shd w:val="clear" w:color="auto" w:fill="auto"/>
        <w:bidi w:val="0"/>
        <w:jc w:val="center"/>
        <w:spacing w:before="0" w:after="0"/>
        <w:ind w:left="0" w:right="20" w:firstLine="0"/>
      </w:pPr>
      <w:r>
        <w:rPr>
          <w:lang w:val="ru-RU" w:eastAsia="ru-RU" w:bidi="ru-RU"/>
          <w:w w:val="100"/>
          <w:spacing w:val="0"/>
          <w:color w:val="000000"/>
          <w:position w:val="0"/>
        </w:rPr>
        <w:t>295006, Республика Крым,</w:t>
      </w:r>
    </w:p>
    <w:p>
      <w:pPr>
        <w:pStyle w:val="Style7"/>
        <w:widowControl w:val="0"/>
        <w:keepNext w:val="0"/>
        <w:keepLines w:val="0"/>
        <w:shd w:val="clear" w:color="auto" w:fill="auto"/>
        <w:bidi w:val="0"/>
        <w:jc w:val="right"/>
        <w:spacing w:before="0" w:after="240"/>
        <w:ind w:left="0" w:right="340" w:firstLine="0"/>
      </w:pPr>
      <w:r>
        <w:rPr>
          <w:lang w:val="ru-RU" w:eastAsia="ru-RU" w:bidi="ru-RU"/>
          <w:w w:val="100"/>
          <w:spacing w:val="0"/>
          <w:color w:val="000000"/>
          <w:position w:val="0"/>
        </w:rPr>
        <w:t>г. Симферополь, ул. А. Невского, д. 27-А</w:t>
      </w:r>
    </w:p>
    <w:p>
      <w:pPr>
        <w:pStyle w:val="Style7"/>
        <w:numPr>
          <w:ilvl w:val="0"/>
          <w:numId w:val="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340" w:firstLine="0"/>
      </w:pPr>
      <w:r>
        <w:rPr>
          <w:lang w:val="ru-RU" w:eastAsia="ru-RU" w:bidi="ru-RU"/>
          <w:w w:val="100"/>
          <w:spacing w:val="0"/>
          <w:color w:val="000000"/>
          <w:position w:val="0"/>
        </w:rPr>
        <w:t>ООО «Строительно-монтажный поезд - 538»</w:t>
      </w:r>
    </w:p>
    <w:p>
      <w:pPr>
        <w:pStyle w:val="Style7"/>
        <w:widowControl w:val="0"/>
        <w:keepNext w:val="0"/>
        <w:keepLines w:val="0"/>
        <w:shd w:val="clear" w:color="auto" w:fill="auto"/>
        <w:bidi w:val="0"/>
        <w:jc w:val="left"/>
        <w:spacing w:before="0" w:after="244"/>
        <w:ind w:left="4980" w:right="340" w:firstLine="0"/>
      </w:pPr>
      <w:r>
        <w:rPr>
          <w:lang w:val="ru-RU" w:eastAsia="ru-RU" w:bidi="ru-RU"/>
          <w:w w:val="100"/>
          <w:spacing w:val="0"/>
          <w:color w:val="000000"/>
          <w:position w:val="0"/>
        </w:rPr>
        <w:t>352380, Краснодарский край, Кавказский р-н, г. Кропоткин, ул. Пожарная, д. 12/1,</w:t>
      </w:r>
    </w:p>
    <w:p>
      <w:pPr>
        <w:pStyle w:val="Style7"/>
        <w:numPr>
          <w:ilvl w:val="0"/>
          <w:numId w:val="1"/>
        </w:numPr>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line="317" w:lineRule="exact"/>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236" w:line="317" w:lineRule="exact"/>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289"/>
        <w:ind w:left="0" w:right="20" w:firstLine="0"/>
      </w:pPr>
      <w:r>
        <w:rPr>
          <w:lang w:val="ru-RU" w:eastAsia="ru-RU" w:bidi="ru-RU"/>
          <w:w w:val="100"/>
          <w:spacing w:val="0"/>
          <w:color w:val="000000"/>
          <w:position w:val="0"/>
        </w:rPr>
        <w:t>Решение по делу №06/4233-17 о нарушении законодательства Российской Федерации о контрактной системе в сфере закупок</w:t>
      </w:r>
    </w:p>
    <w:p>
      <w:pPr>
        <w:pStyle w:val="Style7"/>
        <w:numPr>
          <w:ilvl w:val="0"/>
          <w:numId w:val="3"/>
        </w:numPr>
        <w:tabs>
          <w:tab w:leader="none" w:pos="8047" w:val="left"/>
          <w:tab w:leader="none" w:pos="8071" w:val="left"/>
        </w:tabs>
        <w:widowControl w:val="0"/>
        <w:keepNext w:val="0"/>
        <w:keepLines w:val="0"/>
        <w:shd w:val="clear" w:color="auto" w:fill="auto"/>
        <w:bidi w:val="0"/>
        <w:jc w:val="both"/>
        <w:spacing w:before="0" w:after="188" w:line="260" w:lineRule="exact"/>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12"/>
        </w:rPr>
        <w:t>УФАС</w:t>
      </w:r>
      <w:r>
        <w:rPr>
          <w:lang w:val="ru-RU" w:eastAsia="ru-RU" w:bidi="ru-RU"/>
          <w:w w:val="100"/>
          <w:spacing w:val="0"/>
          <w:color w:val="000000"/>
          <w:position w:val="0"/>
        </w:rPr>
        <w:t xml:space="preserve"> России Н. П. Казаковой члена Комиссии:</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left"/>
        <w:spacing w:before="0" w:after="0"/>
        <w:ind w:left="0" w:right="20" w:firstLine="860"/>
      </w:pPr>
      <w:r>
        <w:rPr>
          <w:lang w:val="ru-RU" w:eastAsia="ru-RU" w:bidi="ru-RU"/>
          <w:w w:val="100"/>
          <w:spacing w:val="0"/>
          <w:color w:val="000000"/>
          <w:position w:val="0"/>
        </w:rPr>
        <w:t>при участии представителей интересов Заказчика Е. В. Муртазаевой (по доверенности), А. С. Обера (по доверенности), И. Е. Афанащенко (по доверенности), представители Заявителя на заседание Комиссии не явились, —</w:t>
      </w:r>
      <w:r>
        <w:br w:type="page"/>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рассмотрев жалобу Заявителя от 02.11.2017 (вх. №4822/09 от 07.11.2017) на действия Заказчика при проведении электронного аукциона «капитальный ремонт здания ГБУЗ РК "Центр профилактики и борьбы со СПИДом" по адресу: г. Симферополь, ул. Александра Невского, 27-А» (номер извещения 0375200049817000032) (далее — Аукцион),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7"/>
        <w:numPr>
          <w:ilvl w:val="0"/>
          <w:numId w:val="5"/>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3"/>
          <w:lang w:val="ru-RU" w:eastAsia="ru-RU" w:bidi="ru-RU"/>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7"/>
        <w:numPr>
          <w:ilvl w:val="0"/>
          <w:numId w:val="7"/>
        </w:numPr>
        <w:widowControl w:val="0"/>
        <w:keepNext w:val="0"/>
        <w:keepLines w:val="0"/>
        <w:shd w:val="clear" w:color="auto" w:fill="auto"/>
        <w:bidi w:val="0"/>
        <w:jc w:val="both"/>
        <w:spacing w:before="0" w:after="109"/>
        <w:ind w:left="20" w:right="0" w:firstLine="0"/>
      </w:pPr>
      <w:r>
        <w:rPr>
          <w:lang w:val="ru-RU" w:eastAsia="ru-RU" w:bidi="ru-RU"/>
          <w:w w:val="100"/>
          <w:spacing w:val="0"/>
          <w:color w:val="000000"/>
          <w:position w:val="0"/>
        </w:rPr>
        <w:t xml:space="preserve"> №727/14),</w:t>
      </w:r>
    </w:p>
    <w:p>
      <w:pPr>
        <w:pStyle w:val="Style7"/>
        <w:widowControl w:val="0"/>
        <w:keepNext w:val="0"/>
        <w:keepLines w:val="0"/>
        <w:shd w:val="clear" w:color="auto" w:fill="auto"/>
        <w:bidi w:val="0"/>
        <w:jc w:val="left"/>
        <w:spacing w:before="0" w:after="68" w:line="260" w:lineRule="exact"/>
        <w:ind w:left="4540" w:right="0" w:firstLine="0"/>
      </w:pPr>
      <w:r>
        <w:rPr>
          <w:lang w:val="ru-RU" w:eastAsia="ru-RU" w:bidi="ru-RU"/>
          <w:w w:val="100"/>
          <w:spacing w:val="0"/>
          <w:color w:val="000000"/>
          <w:position w:val="0"/>
        </w:rPr>
        <w:t>УСТАНОВИЛА:</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Крымское УФАС России поступила жалоба Заявителя на действия Заказчика при проведении Аукциона.</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По мнению Заявителя, его права и законные интересы нарушены действиями Заказчика, установившего в техническом задании документации об Аукционе требования о соответствии товаров и материалов государственным стандартам, в тоже время, Заказчик указывает в документации характеристики, «улучшенные» по сравнению с минимальными и максимальными значениями характеристик товаров и материалов, установленных государственными стандартами, что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 xml:space="preserve">Крымским </w:t>
      </w:r>
      <w:r>
        <w:rPr>
          <w:rStyle w:val="CharStyle12"/>
        </w:rPr>
        <w:t>УФАС</w:t>
      </w:r>
      <w:r>
        <w:rPr>
          <w:lang w:val="ru-RU" w:eastAsia="ru-RU" w:bidi="ru-RU"/>
          <w:w w:val="100"/>
          <w:spacing w:val="0"/>
          <w:color w:val="000000"/>
          <w:position w:val="0"/>
        </w:rPr>
        <w:t xml:space="preserve"> России принято уведомление о поступлении жалобы и приостановлении торгов от 07.11.2017 №06/12676, направленное Заявителю, Заказчику, Оператору электронной площадки и размещенное на официальном сайте Единой информационной системе в сфере закупок (далее - официальный сайт, единая информационная система, ЕИС).</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На заседании Комиссии представители Заказчика не согласились с доводами жалобы и сообщили, что при проведении Аукциона Заказчик действовал в соответствии с требованиями документации об Аукционе и положениями Закона о контрактной системе.</w:t>
      </w:r>
    </w:p>
    <w:p>
      <w:pPr>
        <w:pStyle w:val="Style7"/>
        <w:widowControl w:val="0"/>
        <w:keepNext w:val="0"/>
        <w:keepLines w:val="0"/>
        <w:shd w:val="clear" w:color="auto" w:fill="auto"/>
        <w:bidi w:val="0"/>
        <w:jc w:val="both"/>
        <w:spacing w:before="0" w:after="0"/>
        <w:ind w:left="20" w:right="0" w:firstLine="840"/>
      </w:pPr>
      <w:r>
        <w:rPr>
          <w:lang w:val="ru-RU" w:eastAsia="ru-RU" w:bidi="ru-RU"/>
          <w:w w:val="100"/>
          <w:spacing w:val="0"/>
          <w:color w:val="000000"/>
          <w:position w:val="0"/>
        </w:rPr>
        <w:t>В результате рассмотрения жалобы Комиссия установила следующее.</w:t>
      </w:r>
    </w:p>
    <w:p>
      <w:pPr>
        <w:pStyle w:val="Style7"/>
        <w:widowControl w:val="0"/>
        <w:keepNext w:val="0"/>
        <w:keepLines w:val="0"/>
        <w:shd w:val="clear" w:color="auto" w:fill="auto"/>
        <w:bidi w:val="0"/>
        <w:jc w:val="both"/>
        <w:spacing w:before="0" w:after="0"/>
        <w:ind w:left="20" w:right="20" w:firstLine="840"/>
      </w:pPr>
      <w:r>
        <w:rPr>
          <w:lang w:val="ru-RU" w:eastAsia="ru-RU" w:bidi="ru-RU"/>
          <w:w w:val="100"/>
          <w:spacing w:val="0"/>
          <w:color w:val="000000"/>
          <w:position w:val="0"/>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pPr>
        <w:pStyle w:val="Style7"/>
        <w:widowControl w:val="0"/>
        <w:keepNext w:val="0"/>
        <w:keepLines w:val="0"/>
        <w:shd w:val="clear" w:color="auto" w:fill="auto"/>
        <w:bidi w:val="0"/>
        <w:jc w:val="left"/>
        <w:spacing w:before="0" w:after="0"/>
        <w:ind w:left="20" w:right="0" w:firstLine="840"/>
      </w:pPr>
      <w:r>
        <w:rPr>
          <w:lang w:val="ru-RU" w:eastAsia="ru-RU" w:bidi="ru-RU"/>
          <w:w w:val="100"/>
          <w:spacing w:val="0"/>
          <w:color w:val="000000"/>
          <w:position w:val="0"/>
        </w:rPr>
        <w:t>- извещение об осуществлении закупки размещено на официальном сайте - 19.10.2017, изменения - 30.10.2017;</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электронный аукцион;</w:t>
      </w:r>
    </w:p>
    <w:p>
      <w:pPr>
        <w:pStyle w:val="Style7"/>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- 9 685 990,00 рублей;</w:t>
      </w:r>
    </w:p>
    <w:p>
      <w:pPr>
        <w:pStyle w:val="Style7"/>
        <w:numPr>
          <w:ilvl w:val="0"/>
          <w:numId w:val="9"/>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дата окончания подачи заявок: 17.11.2017 09:00, дата окончания срока рассмотрения первых частей первых частей заявок участников: 21.11.2017, дата проведения Аукциона: 24.11.2017.</w:t>
      </w:r>
    </w:p>
    <w:p>
      <w:pPr>
        <w:pStyle w:val="Style7"/>
        <w:numPr>
          <w:ilvl w:val="0"/>
          <w:numId w:val="11"/>
        </w:numPr>
        <w:tabs>
          <w:tab w:leader="none" w:pos="1201"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Заказчиком в техническом задании документации об Аукционе установлены требования о соответствии товаров и материалов государственным стандартам, в тоже время, Заказчик указывает в документации характеристики, «улучшенные» по сравнению с минимальными и максимальными значениями характеристик товаров и материалов, установленных государственными стандартами, что приводит к невозможности сформировать и подать заявку на участие в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капитальному ремонту здания Закзачика.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 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представители Заказчика пояснили, что все требования к товарам и материалам, используемым при выполнении работ по капитальному ремонту здания Заказчика, установлены в соответствии с государственными стандартами Российской Федерации, а также с соблюдением всех необходимых СНиП, регулирующих качество товара, что позволяет участникам закупки определить потребность Заказчика.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9 статьи 105 Закона о контрактной системе к жалобе прикладываются документы, подтверждающие ее обоснованность.</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а также в составе жалобы Заявителем не представлено объективных доказательств и документально не подтверждены доводы, изложенные в жалобе, свидетельствующие о нарушении Заказчиком норм Закона о контрактной системе в сфере закупок и невозможности формирования и подачи заявки на участие в Конкурсе ввиду установления таких требований.</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Таким образом, Комиссия приходит к выводу о том, что доводы, изложенные в жалобе, не нашли своего подтверждения и являются необоснованными.</w:t>
      </w:r>
    </w:p>
    <w:p>
      <w:pPr>
        <w:pStyle w:val="Style7"/>
        <w:numPr>
          <w:ilvl w:val="0"/>
          <w:numId w:val="11"/>
        </w:numPr>
        <w:tabs>
          <w:tab w:leader="none" w:pos="1192" w:val="left"/>
        </w:tabs>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2.1. В силу пункта 2 части 1 статьи 64 Закона о контрактной системе документация об электронном аукционе наряду с информацией, указанной в извещении о проведении такого аукциона, должна содержать информацию, в том числе требования к содержанию, составу заявки на участие в таком аукционе в соответствии с частями 3-6 статьи 66 Закона о контрактной системе и инструкции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Пунктом 3 части 3 статьи 66 Закона о контрактной системе установлено, что первая часть заявки на участие в электронном аукционе при заключении контракта на выполнение работы или оказание услуги, для выполнения или оказания которых используется товар должна содержать следующую информацию:</w:t>
      </w:r>
    </w:p>
    <w:p>
      <w:pPr>
        <w:pStyle w:val="Style7"/>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в том числе согласие на использование товара, в отношении которого в документации о таком аукционе содержится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либо согласие, предусмотренное пунктом 2 части 3 статьи 66 Закона о контрактной системе,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и, если участник такого аукциона предлагает для использования товар, который является эквивалентным товару, указанному в данной документации, конкретные показатели товара, соответствующие значениям эквивалентности, установленным данной документацией, при условии содержания в ней указания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 а также требование о необходимости указания в заявке на участие в таком аукционе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согласие, предусмотренное пунктом 2 части 3 статьи 66 Закона о контрактной системе, а также конкретные показатели используемого товара, соответствующие значениям, установленным документацией о таком аукционе, и указание на 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соответствии с извещением о проведении Аукциона, документации об Аукционе предметом контракта является выполнение работ по капитальному ремонту здания Закзачика.</w:t>
      </w:r>
    </w:p>
    <w:p>
      <w:pPr>
        <w:pStyle w:val="Style7"/>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Пунктом 1 части 1 статьи 64 Закона о контрактной системе установлено, что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пунктами 1, 2 части 1 статьи 33 Закона о контрактной системе заказчик при описании в документации о закупке объекта закупки должен руководствоваться следующими правилами:</w:t>
      </w:r>
    </w:p>
    <w:p>
      <w:pPr>
        <w:pStyle w:val="Style7"/>
        <w:numPr>
          <w:ilvl w:val="0"/>
          <w:numId w:val="1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описание объекта закупки должно носить объективный характер.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места происхождения товара или наименование производителя, а также требования к товарам, информации, работам, услугам при условии, что такие требования влекут за собой ограничение количества участников закупки, за исключением случаев, если не имеется другого способа, обеспечивающего более точное и четкое описание характеристик объекта закупки. Документация о закупке может содержать указание на товарные знаки в случае, если при выполнении работ, оказании услуг предполагается использовать товары, поставки которых не являются предметом контракта. При этом обязательным условием является включение в описание объекта закупки слов «или эквивалент», за исключением случаев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а также случаев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7"/>
        <w:numPr>
          <w:ilvl w:val="0"/>
          <w:numId w:val="1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использование, если это возможно, при составлении описания объекта закупки стандартных показателей, требований, условных обозначений и терминологии, касающихся технических и качественных характеристик объекта закупки, установленных в соответствии с техническими регламентами, стандартами и иными требованиями, предусмотренными законодательством Российской Федерации о техническом регулировании. Если заказчиком при описании объекта закупки не используются такие стандартные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обозначений и терминологии.</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3 статьи 33 Закона о контрактной системе не допускается включение в документацию о закупке (в том числе в форме требований к качеству, техническим характеристикам товара, работы или услуги, требований к функциональным характеристикам (потребительским свойствам) товара) требований к производителю товара, к участнику закупки (в том числе требования к квалификации участника закупки, включая наличие опыта работы), а также требования к деловой репутации участника закупки, требования к наличию у него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предметом контракта, для выполнения работы или оказания</w:t>
      </w:r>
    </w:p>
    <w:p>
      <w:pPr>
        <w:pStyle w:val="Style7"/>
        <w:widowControl w:val="0"/>
        <w:keepNext w:val="0"/>
        <w:keepLines w:val="0"/>
        <w:shd w:val="clear" w:color="auto" w:fill="auto"/>
        <w:bidi w:val="0"/>
        <w:jc w:val="both"/>
        <w:spacing w:before="0" w:after="0"/>
        <w:ind w:left="120" w:right="140" w:firstLine="0"/>
      </w:pPr>
      <w:r>
        <w:rPr>
          <w:lang w:val="ru-RU" w:eastAsia="ru-RU" w:bidi="ru-RU"/>
          <w:w w:val="100"/>
          <w:spacing w:val="0"/>
          <w:color w:val="000000"/>
          <w:position w:val="0"/>
        </w:rPr>
        <w:t>услуги, являющихся предметом контракта, за исключением случаев, если возможность установления таких требований к участнику закупки предусмотрена настоящим Федеральным законом.</w:t>
      </w:r>
    </w:p>
    <w:p>
      <w:pPr>
        <w:pStyle w:val="Style7"/>
        <w:widowControl w:val="0"/>
        <w:keepNext w:val="0"/>
        <w:keepLines w:val="0"/>
        <w:shd w:val="clear" w:color="auto" w:fill="auto"/>
        <w:bidi w:val="0"/>
        <w:jc w:val="both"/>
        <w:spacing w:before="0" w:after="0"/>
        <w:ind w:left="120" w:right="140" w:firstLine="860"/>
      </w:pPr>
      <w:r>
        <w:rPr>
          <w:lang w:val="ru-RU" w:eastAsia="ru-RU" w:bidi="ru-RU"/>
          <w:w w:val="100"/>
          <w:spacing w:val="0"/>
          <w:color w:val="000000"/>
          <w:position w:val="0"/>
        </w:rPr>
        <w:t xml:space="preserve">Заказчиком в техническом задании документации об Аукционе установлено требование о соответствии товаров, используемых при выполнении работ, например: </w:t>
      </w:r>
      <w:r>
        <w:rPr>
          <w:rStyle w:val="CharStyle14"/>
        </w:rPr>
        <w:t>«...</w:t>
      </w:r>
    </w:p>
    <w:p>
      <w:pPr>
        <w:pStyle w:val="Style15"/>
        <w:widowControl w:val="0"/>
        <w:keepNext w:val="0"/>
        <w:keepLines w:val="0"/>
        <w:shd w:val="clear" w:color="auto" w:fill="auto"/>
        <w:bidi w:val="0"/>
        <w:spacing w:before="0" w:after="0" w:line="230" w:lineRule="exact"/>
        <w:ind w:left="120" w:right="0" w:firstLine="0"/>
      </w:pPr>
      <w:r>
        <w:rPr>
          <w:rStyle w:val="CharStyle17"/>
        </w:rPr>
        <w:t>Показатели, относящиеся к массе</w:t>
      </w:r>
    </w:p>
    <w:tbl>
      <w:tblPr>
        <w:tblOverlap w:val="never"/>
        <w:tblLayout w:type="fixed"/>
        <w:jc w:val="center"/>
      </w:tblPr>
      <w:tblGrid>
        <w:gridCol w:w="509"/>
        <w:gridCol w:w="2506"/>
        <w:gridCol w:w="3336"/>
        <w:gridCol w:w="4085"/>
      </w:tblGrid>
      <w:tr>
        <w:trPr>
          <w:trHeight w:val="1877"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w:t>
            </w:r>
          </w:p>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п/п</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Наименование товара</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Требования к товарам/ параметры эквивалентности</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240" w:right="0" w:firstLine="0"/>
            </w:pPr>
            <w:r>
              <w:rPr>
                <w:rStyle w:val="CharStyle18"/>
              </w:rPr>
              <w:t>1</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2</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3</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4</w:t>
            </w:r>
          </w:p>
        </w:tc>
      </w:tr>
      <w:tr>
        <w:trPr>
          <w:trHeight w:val="221"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240" w:right="0" w:firstLine="0"/>
            </w:pPr>
            <w:r>
              <w:rPr>
                <w:rStyle w:val="CharStyle18"/>
              </w:rPr>
              <w:t>3.</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Шкаф тип 1.</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более 12 кг.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14.</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Компенсатор тип 1.</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&lt; 377 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15.</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Компенсатор тип 2.</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&lt; 201 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16.</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Компенсатор тип 3.</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&lt; 140 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25.</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Решетка тип 1.</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решетки — не более 2,3 кг.</w:t>
            </w:r>
          </w:p>
        </w:tc>
      </w:tr>
      <w:tr>
        <w:trPr>
          <w:trHeight w:val="221"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28.</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Вентилятор.</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Веза 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более 22 кг.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29.</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Щит распределительный.</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lang w:val="en-US" w:eastAsia="en-US" w:bidi="en-US"/>
              </w:rPr>
              <w:t xml:space="preserve">IEK </w:t>
            </w:r>
            <w:r>
              <w:rPr>
                <w:rStyle w:val="CharStyle18"/>
              </w:rPr>
              <w:t>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щита — &lt; 4,5 кг.</w:t>
            </w:r>
          </w:p>
        </w:tc>
      </w:tr>
      <w:tr>
        <w:trPr>
          <w:trHeight w:val="422"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31.</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Выключатель автоматический тип 2.</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lang w:val="en-US" w:eastAsia="en-US" w:bidi="en-US"/>
              </w:rPr>
              <w:t xml:space="preserve">IEK </w:t>
            </w:r>
            <w:r>
              <w:rPr>
                <w:rStyle w:val="CharStyle18"/>
              </w:rPr>
              <w:t>или эквивалент</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&gt; 120 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33.</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Ящик трансформаторный.</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lang w:val="en-US" w:eastAsia="en-US" w:bidi="en-US"/>
              </w:rPr>
              <w:t xml:space="preserve">IEK </w:t>
            </w:r>
            <w:r>
              <w:rPr>
                <w:rStyle w:val="CharStyle18"/>
              </w:rPr>
              <w:t>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&lt; 7 кг.</w:t>
            </w:r>
          </w:p>
        </w:tc>
      </w:tr>
      <w:tr>
        <w:trPr>
          <w:trHeight w:val="221"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35.</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Светильник тип 2.</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Световые Технологии 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более 1,2 кг.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48.</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Пульт.</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ЗАО НВП Болид 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&gt; 0,3 кг.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50.</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Контроллер.</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ЗАО НВП Болид 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более 0,3 кг.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56.</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Блок базовый.</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ЗАО НВП Болид 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более 8 кг.</w:t>
            </w:r>
          </w:p>
        </w:tc>
      </w:tr>
      <w:tr>
        <w:trPr>
          <w:trHeight w:val="422"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59.</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Батарея аккумуляторная тип 1.</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lang w:val="en-US" w:eastAsia="en-US" w:bidi="en-US"/>
              </w:rPr>
              <w:t xml:space="preserve">Delta </w:t>
            </w:r>
            <w:r>
              <w:rPr>
                <w:rStyle w:val="CharStyle18"/>
              </w:rPr>
              <w:t>или эквивалент</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аккумулятора — не более 2,3 кг.</w:t>
            </w:r>
          </w:p>
        </w:tc>
      </w:tr>
      <w:tr>
        <w:trPr>
          <w:trHeight w:val="427" w:hRule="exact"/>
        </w:trPr>
        <w:tc>
          <w:tcPr>
            <w:shd w:val="clear" w:color="auto" w:fill="FFFFFF"/>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60.</w:t>
            </w:r>
          </w:p>
        </w:tc>
        <w:tc>
          <w:tcPr>
            <w:shd w:val="clear" w:color="auto" w:fill="FFFFFF"/>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Батарея аккумуляторная тип 2.</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lang w:val="en-US" w:eastAsia="en-US" w:bidi="en-US"/>
              </w:rPr>
              <w:t xml:space="preserve">Delta </w:t>
            </w:r>
            <w:r>
              <w:rPr>
                <w:rStyle w:val="CharStyle18"/>
              </w:rPr>
              <w:t>или эквивалент</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батареи аккумуляторной — не более 5,7 кг.</w:t>
            </w:r>
          </w:p>
        </w:tc>
      </w:tr>
      <w:tr>
        <w:trPr>
          <w:trHeight w:val="422" w:hRule="exact"/>
        </w:trPr>
        <w:tc>
          <w:tcPr>
            <w:shd w:val="clear" w:color="auto" w:fill="FFFFFF"/>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61.</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Бокс под аккумуляторы.</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ЗАО НВП Болид или эквивалент</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Масса с аккумуляторными батареями — не более 14 кг.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63.</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Извещатель тип 2.</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ЗАО НВП Болид 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более 0,15 кг.</w:t>
            </w:r>
          </w:p>
        </w:tc>
      </w:tr>
      <w:tr>
        <w:trPr>
          <w:trHeight w:val="221"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65.</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Извещатель тип 4.</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ЗАО НВП Болид 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менее 0,5 кг.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66.</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Оповещатель.</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ООО "Элтех-Сервис" 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до 0,25 кг.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67.</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Жесткий диск.</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lang w:val="en-US" w:eastAsia="en-US" w:bidi="en-US"/>
              </w:rPr>
              <w:t xml:space="preserve">Western Digital </w:t>
            </w:r>
            <w:r>
              <w:rPr>
                <w:rStyle w:val="CharStyle18"/>
              </w:rPr>
              <w:t>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более 640 г.</w:t>
            </w:r>
          </w:p>
        </w:tc>
      </w:tr>
      <w:tr>
        <w:trPr>
          <w:trHeight w:val="422"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71.</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Медиа-шлюз.</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lang w:val="en-US" w:eastAsia="en-US" w:bidi="en-US"/>
              </w:rPr>
              <w:t xml:space="preserve">Avaya </w:t>
            </w:r>
            <w:r>
              <w:rPr>
                <w:rStyle w:val="CharStyle18"/>
              </w:rPr>
              <w:t>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Масса медиа-шлюза без дополнительного оборудования — не более 7,5 кг.</w:t>
            </w:r>
          </w:p>
        </w:tc>
      </w:tr>
      <w:tr>
        <w:trPr>
          <w:trHeight w:val="427"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74.</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Источники бесперебойного питания.</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lang w:val="en-US" w:eastAsia="en-US" w:bidi="en-US"/>
              </w:rPr>
              <w:t xml:space="preserve">APC </w:t>
            </w:r>
            <w:r>
              <w:rPr>
                <w:rStyle w:val="CharStyle18"/>
              </w:rPr>
              <w:t>или эквивалент</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не более 7 кг.</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77.</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Расходомер.</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ЗАО Взлет или эквивалент</w:t>
            </w: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расходомера — до 1,7 кг.</w:t>
            </w:r>
          </w:p>
        </w:tc>
      </w:tr>
      <w:tr>
        <w:trPr>
          <w:trHeight w:val="432" w:hRule="exact"/>
        </w:trPr>
        <w:tc>
          <w:tcPr>
            <w:shd w:val="clear" w:color="auto" w:fill="FFFFFF"/>
            <w:tcBorders>
              <w:left w:val="single" w:sz="4"/>
              <w:top w:val="single" w:sz="4"/>
              <w:bottom w:val="single" w:sz="4"/>
            </w:tcBorders>
            <w:vAlign w:val="center"/>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80.</w:t>
            </w:r>
          </w:p>
        </w:tc>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Источник вторичного питания.</w:t>
            </w:r>
          </w:p>
        </w:tc>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ЗАО «Взлет» или эквивалент</w:t>
            </w:r>
          </w:p>
        </w:tc>
        <w:tc>
          <w:tcPr>
            <w:shd w:val="clear" w:color="auto" w:fill="FFFFFF"/>
            <w:tcBorders>
              <w:left w:val="single" w:sz="4"/>
              <w:righ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Масса — &lt; 250 г.</w:t>
            </w:r>
          </w:p>
        </w:tc>
      </w:tr>
    </w:tbl>
    <w:p>
      <w:pPr>
        <w:widowControl w:val="0"/>
        <w:spacing w:line="300" w:lineRule="exact"/>
        <w:rPr>
          <w:sz w:val="24"/>
          <w:szCs w:val="24"/>
        </w:rPr>
      </w:pPr>
    </w:p>
    <w:p>
      <w:pPr>
        <w:pStyle w:val="Style19"/>
        <w:framePr w:w="10435"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21"/>
        </w:rPr>
        <w:t>Показатели, относящиеся к предельным отклонениям</w:t>
      </w:r>
    </w:p>
    <w:tbl>
      <w:tblPr>
        <w:tblOverlap w:val="never"/>
        <w:tblLayout w:type="fixed"/>
        <w:jc w:val="center"/>
      </w:tblPr>
      <w:tblGrid>
        <w:gridCol w:w="466"/>
        <w:gridCol w:w="2323"/>
        <w:gridCol w:w="2995"/>
        <w:gridCol w:w="4651"/>
      </w:tblGrid>
      <w:tr>
        <w:trPr>
          <w:trHeight w:val="1886"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w:t>
            </w:r>
          </w:p>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п/п</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Наименование товара</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Требования к товарам/ параметры эквивалентности</w:t>
            </w:r>
          </w:p>
        </w:tc>
      </w:tr>
      <w:tr>
        <w:trPr>
          <w:trHeight w:val="216"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220" w:right="0" w:firstLine="0"/>
            </w:pPr>
            <w:r>
              <w:rPr>
                <w:rStyle w:val="CharStyle18"/>
              </w:rPr>
              <w:t>1</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2</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3</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4</w:t>
            </w:r>
          </w:p>
        </w:tc>
      </w:tr>
      <w:tr>
        <w:trPr>
          <w:trHeight w:val="845" w:hRule="exact"/>
        </w:trPr>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39.</w:t>
            </w:r>
          </w:p>
        </w:tc>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1.</w:t>
            </w:r>
          </w:p>
        </w:tc>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Предельное отклонение от температуры стойкости кабеля к старению — в диапазоне конкретных значений с нижним пределом включительно от -2 и с верхним пределом включительно до 2 °С.</w:t>
            </w:r>
          </w:p>
        </w:tc>
      </w:tr>
    </w:tbl>
    <w:p>
      <w:pPr>
        <w:widowControl w:val="0"/>
        <w:rPr>
          <w:sz w:val="2"/>
          <w:szCs w:val="2"/>
        </w:rPr>
      </w:pPr>
    </w:p>
    <w:tbl>
      <w:tblPr>
        <w:tblOverlap w:val="never"/>
        <w:tblLayout w:type="fixed"/>
        <w:jc w:val="center"/>
      </w:tblPr>
      <w:tblGrid>
        <w:gridCol w:w="466"/>
        <w:gridCol w:w="2323"/>
        <w:gridCol w:w="2995"/>
        <w:gridCol w:w="4651"/>
      </w:tblGrid>
      <w:tr>
        <w:trPr>
          <w:trHeight w:val="845"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18"/>
              </w:rPr>
              <w:t>40.</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2.</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Предельное отклонение от температуры стойкости кабеля к старению — в диапазоне конкретных значений с нижним пределом не менее -2 и с верхним пределом не более 2 °С.</w:t>
            </w:r>
          </w:p>
        </w:tc>
      </w:tr>
      <w:tr>
        <w:trPr>
          <w:trHeight w:val="835"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18"/>
              </w:rPr>
              <w:t>41.</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3.</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Предельное отклонение от температуры стойкости кабеля к старению — в диапазоне конкретных значений с нижним пределом не менее -2 и с верхним пределом не более 2 °С.</w:t>
            </w:r>
          </w:p>
        </w:tc>
      </w:tr>
      <w:tr>
        <w:trPr>
          <w:trHeight w:val="840"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18"/>
              </w:rPr>
              <w:t>42.</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4.</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Предельное отклонение от температуры стойкости кабеля к старению — в диапазоне конкретных значений с нижним пределом не менее -2 и с верхним пределом не более 2 °С.</w:t>
            </w:r>
          </w:p>
        </w:tc>
      </w:tr>
      <w:tr>
        <w:trPr>
          <w:trHeight w:val="835"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18"/>
              </w:rPr>
              <w:t>43.</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5.</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Предельное отклонение от температуры стойкости кабеля к старению — в диапазоне конкретных значений с нижним пределом не менее -2 и с верхним пределом не более 2 °С.</w:t>
            </w:r>
          </w:p>
        </w:tc>
      </w:tr>
      <w:tr>
        <w:trPr>
          <w:trHeight w:val="840"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18"/>
              </w:rPr>
              <w:t>44.</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6.</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Предельное отклонение от температуры стойкости кабеля к старению — в диапазоне конкретных значений с нижним пределом не менее -2 и с верхним пределом не более 2 °С.</w:t>
            </w:r>
          </w:p>
        </w:tc>
      </w:tr>
      <w:tr>
        <w:trPr>
          <w:trHeight w:val="835"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18"/>
              </w:rPr>
              <w:t>45.</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Труба тип 4.</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Предельное отклонение по наружному диаметру — в диапазоне конкретных значений с нижним пределом включительно от -0,5 и с верхним пределом включительно до 0,4 мм.</w:t>
            </w:r>
          </w:p>
        </w:tc>
      </w:tr>
      <w:tr>
        <w:trPr>
          <w:trHeight w:val="643" w:hRule="exact"/>
        </w:trPr>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20" w:right="0" w:firstLine="0"/>
            </w:pPr>
            <w:r>
              <w:rPr>
                <w:rStyle w:val="CharStyle18"/>
              </w:rPr>
              <w:t>46.</w:t>
            </w:r>
          </w:p>
        </w:tc>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Труба тип 5.</w:t>
            </w:r>
          </w:p>
        </w:tc>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Предельное отклонение по наружному диаметру — в диапазоне конкретных значений с нижним пределом не менее -0,5 и с верхним пределом не более 0,4 мм.</w:t>
            </w:r>
          </w:p>
        </w:tc>
      </w:tr>
    </w:tbl>
    <w:p>
      <w:pPr>
        <w:widowControl w:val="0"/>
        <w:spacing w:line="300" w:lineRule="exact"/>
        <w:rPr>
          <w:sz w:val="24"/>
          <w:szCs w:val="24"/>
        </w:rPr>
      </w:pPr>
    </w:p>
    <w:p>
      <w:pPr>
        <w:pStyle w:val="Style19"/>
        <w:framePr w:w="10435" w:wrap="notBeside" w:vAnchor="text" w:hAnchor="text" w:xAlign="center" w:y="1"/>
        <w:widowControl w:val="0"/>
        <w:keepNext w:val="0"/>
        <w:keepLines w:val="0"/>
        <w:shd w:val="clear" w:color="auto" w:fill="auto"/>
        <w:bidi w:val="0"/>
        <w:jc w:val="left"/>
        <w:spacing w:before="0" w:after="0" w:line="170" w:lineRule="exact"/>
        <w:ind w:left="0" w:right="0" w:firstLine="0"/>
      </w:pPr>
      <w:r>
        <w:rPr>
          <w:rStyle w:val="CharStyle21"/>
        </w:rPr>
        <w:t>Общие показатели</w:t>
      </w:r>
    </w:p>
    <w:tbl>
      <w:tblPr>
        <w:tblOverlap w:val="never"/>
        <w:tblLayout w:type="fixed"/>
        <w:jc w:val="center"/>
      </w:tblPr>
      <w:tblGrid>
        <w:gridCol w:w="504"/>
        <w:gridCol w:w="1781"/>
        <w:gridCol w:w="2933"/>
        <w:gridCol w:w="5218"/>
      </w:tblGrid>
      <w:tr>
        <w:trPr>
          <w:trHeight w:val="1877"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80" w:right="0" w:firstLine="0"/>
            </w:pPr>
            <w:r>
              <w:rPr>
                <w:rStyle w:val="CharStyle18"/>
              </w:rPr>
              <w:t>№</w:t>
            </w:r>
          </w:p>
          <w:p>
            <w:pPr>
              <w:pStyle w:val="Style7"/>
              <w:framePr w:w="10435" w:wrap="notBeside" w:vAnchor="text" w:hAnchor="text" w:xAlign="center" w:y="1"/>
              <w:widowControl w:val="0"/>
              <w:keepNext w:val="0"/>
              <w:keepLines w:val="0"/>
              <w:shd w:val="clear" w:color="auto" w:fill="auto"/>
              <w:bidi w:val="0"/>
              <w:jc w:val="left"/>
              <w:spacing w:before="0" w:after="0" w:line="170" w:lineRule="exact"/>
              <w:ind w:left="180" w:right="0" w:firstLine="0"/>
            </w:pPr>
            <w:r>
              <w:rPr>
                <w:rStyle w:val="CharStyle18"/>
              </w:rPr>
              <w:t>п/п</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60" w:line="170" w:lineRule="exact"/>
              <w:ind w:left="0" w:right="0" w:firstLine="0"/>
            </w:pPr>
            <w:r>
              <w:rPr>
                <w:rStyle w:val="CharStyle18"/>
              </w:rPr>
              <w:t>Наименование</w:t>
            </w:r>
          </w:p>
          <w:p>
            <w:pPr>
              <w:pStyle w:val="Style7"/>
              <w:framePr w:w="10435" w:wrap="notBeside" w:vAnchor="text" w:hAnchor="text" w:xAlign="center" w:y="1"/>
              <w:widowControl w:val="0"/>
              <w:keepNext w:val="0"/>
              <w:keepLines w:val="0"/>
              <w:shd w:val="clear" w:color="auto" w:fill="auto"/>
              <w:bidi w:val="0"/>
              <w:jc w:val="center"/>
              <w:spacing w:before="60" w:after="0" w:line="170" w:lineRule="exact"/>
              <w:ind w:left="0" w:right="0" w:firstLine="0"/>
            </w:pPr>
            <w:r>
              <w:rPr>
                <w:rStyle w:val="CharStyle18"/>
              </w:rPr>
              <w:t>товара</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Товарный знак (его словесное обозначение) (при наличии), знак обслуживания (при наличии), фирменное наименование (при наличии), патенты (при наличии), полезные модели (при наличии), промышленные образцы (при наличии), наименование страны происхождения товара</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Требования к товарам/ параметры эквивалентности</w:t>
            </w:r>
          </w:p>
        </w:tc>
      </w:tr>
      <w:tr>
        <w:trPr>
          <w:trHeight w:val="221" w:hRule="exact"/>
        </w:trPr>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240" w:right="0" w:firstLine="0"/>
            </w:pPr>
            <w:r>
              <w:rPr>
                <w:rStyle w:val="CharStyle18"/>
              </w:rPr>
              <w:t>1</w:t>
            </w:r>
          </w:p>
        </w:tc>
        <w:tc>
          <w:tcPr>
            <w:shd w:val="clear" w:color="auto" w:fill="FFFFFF"/>
            <w:tcBorders>
              <w:lef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2</w:t>
            </w:r>
          </w:p>
        </w:tc>
        <w:tc>
          <w:tcPr>
            <w:shd w:val="clear" w:color="auto" w:fill="FFFFFF"/>
            <w:tcBorders>
              <w:lef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3</w:t>
            </w:r>
          </w:p>
        </w:tc>
        <w:tc>
          <w:tcPr>
            <w:shd w:val="clear" w:color="auto" w:fill="FFFFFF"/>
            <w:tcBorders>
              <w:left w:val="single" w:sz="4"/>
              <w:righ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4</w:t>
            </w:r>
          </w:p>
        </w:tc>
      </w:tr>
      <w:tr>
        <w:trPr>
          <w:trHeight w:val="1454"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80" w:right="0" w:firstLine="0"/>
            </w:pPr>
            <w:r>
              <w:rPr>
                <w:rStyle w:val="CharStyle18"/>
              </w:rPr>
              <w:t>1.</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Грунтовка.</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180" w:line="206" w:lineRule="exact"/>
              <w:ind w:left="0" w:right="0" w:firstLine="0"/>
            </w:pPr>
            <w:r>
              <w:rPr>
                <w:rStyle w:val="CharStyle18"/>
              </w:rPr>
              <w:t>Условная вязкость по вискозиметру типа ВЗ-246 с диаметром сопла 4 мм при температуре 20 °С — не &lt; 10 с. Атмосферостойкость пленки — наличие.</w:t>
            </w:r>
          </w:p>
          <w:p>
            <w:pPr>
              <w:pStyle w:val="Style7"/>
              <w:framePr w:w="10435" w:wrap="notBeside" w:vAnchor="text" w:hAnchor="text" w:xAlign="center" w:y="1"/>
              <w:widowControl w:val="0"/>
              <w:keepNext w:val="0"/>
              <w:keepLines w:val="0"/>
              <w:shd w:val="clear" w:color="auto" w:fill="auto"/>
              <w:bidi w:val="0"/>
              <w:jc w:val="center"/>
              <w:spacing w:before="180" w:after="0" w:line="206" w:lineRule="exact"/>
              <w:ind w:left="0" w:right="0" w:firstLine="0"/>
            </w:pPr>
            <w:r>
              <w:rPr>
                <w:rStyle w:val="CharStyle18"/>
              </w:rPr>
              <w:t>Время высыхания при температуре не менее 18 и не более 20 °С — до 2 ч.</w:t>
            </w:r>
          </w:p>
        </w:tc>
      </w:tr>
      <w:tr>
        <w:trPr>
          <w:trHeight w:val="221"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5" w:wrap="notBeside" w:vAnchor="text" w:hAnchor="text" w:xAlign="center" w:y="1"/>
              <w:widowControl w:val="0"/>
              <w:rPr>
                <w:sz w:val="10"/>
                <w:szCs w:val="10"/>
              </w:rPr>
            </w:pPr>
          </w:p>
        </w:tc>
      </w:tr>
      <w:tr>
        <w:trPr>
          <w:trHeight w:val="835"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80" w:right="0" w:firstLine="0"/>
            </w:pPr>
            <w:r>
              <w:rPr>
                <w:rStyle w:val="CharStyle18"/>
              </w:rPr>
              <w:t>4.</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Муфта тип 1.</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240" w:line="170" w:lineRule="exact"/>
              <w:ind w:left="0" w:right="0" w:firstLine="0"/>
            </w:pPr>
            <w:r>
              <w:rPr>
                <w:rStyle w:val="CharStyle18"/>
              </w:rPr>
              <w:t>Удлинение при разрыве полипропилена — свыше 798 %.</w:t>
            </w:r>
          </w:p>
          <w:p>
            <w:pPr>
              <w:pStyle w:val="Style7"/>
              <w:framePr w:w="10435" w:wrap="notBeside" w:vAnchor="text" w:hAnchor="text" w:xAlign="center" w:y="1"/>
              <w:widowControl w:val="0"/>
              <w:keepNext w:val="0"/>
              <w:keepLines w:val="0"/>
              <w:shd w:val="clear" w:color="auto" w:fill="auto"/>
              <w:bidi w:val="0"/>
              <w:jc w:val="center"/>
              <w:spacing w:before="240" w:after="60" w:line="170" w:lineRule="exact"/>
              <w:ind w:left="0" w:right="0" w:firstLine="0"/>
            </w:pPr>
            <w:r>
              <w:rPr>
                <w:rStyle w:val="CharStyle18"/>
              </w:rPr>
              <w:t>Твердость при вдавливании полипропилена — свыше 35 и до 41</w:t>
            </w:r>
          </w:p>
          <w:p>
            <w:pPr>
              <w:pStyle w:val="Style7"/>
              <w:framePr w:w="10435" w:wrap="notBeside" w:vAnchor="text" w:hAnchor="text" w:xAlign="center" w:y="1"/>
              <w:widowControl w:val="0"/>
              <w:keepNext w:val="0"/>
              <w:keepLines w:val="0"/>
              <w:shd w:val="clear" w:color="auto" w:fill="auto"/>
              <w:bidi w:val="0"/>
              <w:jc w:val="center"/>
              <w:spacing w:before="60" w:after="0" w:line="170" w:lineRule="exact"/>
              <w:ind w:left="0" w:right="0" w:firstLine="0"/>
            </w:pPr>
            <w:r>
              <w:rPr>
                <w:rStyle w:val="CharStyle18"/>
              </w:rPr>
              <w:t>Н/мм</w:t>
            </w:r>
            <w:r>
              <w:rPr>
                <w:rStyle w:val="CharStyle18"/>
                <w:vertAlign w:val="superscript"/>
              </w:rPr>
              <w:t>2</w:t>
            </w:r>
            <w:r>
              <w:rPr>
                <w:rStyle w:val="CharStyle18"/>
              </w:rPr>
              <w:t>.</w:t>
            </w:r>
          </w:p>
        </w:tc>
      </w:tr>
      <w:tr>
        <w:trPr>
          <w:trHeight w:val="634"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80" w:right="0" w:firstLine="0"/>
            </w:pPr>
            <w:r>
              <w:rPr>
                <w:rStyle w:val="CharStyle18"/>
              </w:rPr>
              <w:t>5.</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Муфта тип 2.</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97" w:lineRule="exact"/>
              <w:ind w:left="0" w:right="0" w:firstLine="0"/>
            </w:pPr>
            <w:r>
              <w:rPr>
                <w:rStyle w:val="CharStyle18"/>
              </w:rPr>
              <w:t>Твердость при вдавливании материала изготовления — от 38 Н/мм2.</w:t>
            </w:r>
          </w:p>
        </w:tc>
      </w:tr>
      <w:tr>
        <w:trPr>
          <w:trHeight w:val="629"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80" w:right="0" w:firstLine="0"/>
            </w:pPr>
            <w:r>
              <w:rPr>
                <w:rStyle w:val="CharStyle18"/>
              </w:rPr>
              <w:t>6.</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Муфта тип 3.</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97" w:lineRule="exact"/>
              <w:ind w:left="0" w:right="0" w:firstLine="0"/>
            </w:pPr>
            <w:r>
              <w:rPr>
                <w:rStyle w:val="CharStyle18"/>
              </w:rPr>
              <w:t>Твердость при вдавливании материала изготовления — от 38 Н/мм2.</w:t>
            </w:r>
          </w:p>
        </w:tc>
      </w:tr>
      <w:tr>
        <w:trPr>
          <w:trHeight w:val="1046"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80" w:right="0" w:firstLine="0"/>
            </w:pPr>
            <w:r>
              <w:rPr>
                <w:rStyle w:val="CharStyle18"/>
              </w:rPr>
              <w:t>7.</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Угольник тип 1.</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Угол изгиба угольника — 90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 текучести при растяжении материала изготовления угольника — в диапазоне конкретных значений с нижним пределом от 21 и с верхним пределом до 25 Н/мм2.</w:t>
            </w:r>
          </w:p>
        </w:tc>
      </w:tr>
      <w:tr>
        <w:trPr>
          <w:trHeight w:val="1262" w:hRule="exact"/>
        </w:trPr>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80" w:right="0" w:firstLine="0"/>
            </w:pPr>
            <w:r>
              <w:rPr>
                <w:rStyle w:val="CharStyle18"/>
              </w:rPr>
              <w:t>8.</w:t>
            </w:r>
          </w:p>
        </w:tc>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Угольник тип 2.</w:t>
            </w:r>
          </w:p>
        </w:tc>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Минимальный предел прочности при разрыве материала изготовления угольника — &gt; 27 и не более 42 Н/мм2. Модуль упругости материала изготовления угольника — в диапазоне конкретных значений с нижним пределом не менее 800 и с верхним пределом до 1250 МПа.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Угол отвода угольника — 90 °.</w:t>
            </w:r>
          </w:p>
        </w:tc>
      </w:tr>
    </w:tbl>
    <w:p>
      <w:pPr>
        <w:widowControl w:val="0"/>
        <w:rPr>
          <w:sz w:val="2"/>
          <w:szCs w:val="2"/>
        </w:rPr>
      </w:pPr>
    </w:p>
    <w:tbl>
      <w:tblPr>
        <w:tblOverlap w:val="never"/>
        <w:tblLayout w:type="fixed"/>
        <w:jc w:val="center"/>
      </w:tblPr>
      <w:tblGrid>
        <w:gridCol w:w="504"/>
        <w:gridCol w:w="1781"/>
        <w:gridCol w:w="2933"/>
        <w:gridCol w:w="5218"/>
      </w:tblGrid>
      <w:tr>
        <w:trPr>
          <w:trHeight w:val="2914"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Средний коэффициент линейного расширения материала изготовления угольника — не менее 0,1 и не более 0,2 мм/(м^°С).</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Коэффициент местного гидравлического сопротивления угольника — не &gt; 1,2.</w:t>
            </w:r>
          </w:p>
          <w:p>
            <w:pPr>
              <w:pStyle w:val="Style7"/>
              <w:framePr w:w="10435" w:wrap="notBeside" w:vAnchor="text" w:hAnchor="text" w:xAlign="center" w:y="1"/>
              <w:widowControl w:val="0"/>
              <w:keepNext w:val="0"/>
              <w:keepLines w:val="0"/>
              <w:shd w:val="clear" w:color="auto" w:fill="auto"/>
              <w:bidi w:val="0"/>
              <w:jc w:val="center"/>
              <w:spacing w:before="0" w:after="180" w:line="206" w:lineRule="exact"/>
              <w:ind w:left="0" w:right="0" w:firstLine="0"/>
            </w:pPr>
            <w:r>
              <w:rPr>
                <w:rStyle w:val="CharStyle18"/>
              </w:rPr>
              <w:t>Коэффициент теплопроводности материала изготовления угольника — не менее 0,2 и не более 0,3 Вт/(м^°С). Минимальное относительное удлинение при разрыве материала изготовления угольника — свыше 456 %. Максимальная плотность материала изготовления угольника — не &lt; 0,9 и не &gt; 0,92 г/см</w:t>
            </w:r>
            <w:r>
              <w:rPr>
                <w:rStyle w:val="CharStyle18"/>
                <w:vertAlign w:val="superscript"/>
              </w:rPr>
              <w:t>3</w:t>
            </w:r>
            <w:r>
              <w:rPr>
                <w:rStyle w:val="CharStyle18"/>
              </w:rPr>
              <w:t>.</w:t>
            </w:r>
          </w:p>
          <w:p>
            <w:pPr>
              <w:pStyle w:val="Style7"/>
              <w:framePr w:w="10435" w:wrap="notBeside" w:vAnchor="text" w:hAnchor="text" w:xAlign="center" w:y="1"/>
              <w:widowControl w:val="0"/>
              <w:keepNext w:val="0"/>
              <w:keepLines w:val="0"/>
              <w:shd w:val="clear" w:color="auto" w:fill="auto"/>
              <w:bidi w:val="0"/>
              <w:jc w:val="center"/>
              <w:spacing w:before="180" w:after="0" w:line="206" w:lineRule="exact"/>
              <w:ind w:left="0" w:right="0" w:firstLine="0"/>
            </w:pPr>
            <w:r>
              <w:rPr>
                <w:rStyle w:val="CharStyle18"/>
              </w:rPr>
              <w:t>Минимальный предел текучести при растяжении материала изготовления угольника — не менее 25 Н/мм2.</w:t>
            </w:r>
          </w:p>
        </w:tc>
      </w:tr>
      <w:tr>
        <w:trPr>
          <w:trHeight w:val="216"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5" w:wrap="notBeside" w:vAnchor="text" w:hAnchor="text" w:xAlign="center" w:y="1"/>
              <w:widowControl w:val="0"/>
              <w:rPr>
                <w:sz w:val="10"/>
                <w:szCs w:val="10"/>
              </w:rPr>
            </w:pPr>
          </w:p>
        </w:tc>
      </w:tr>
      <w:tr>
        <w:trPr>
          <w:trHeight w:val="1046"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12.</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Угольник тип 3.</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Угол изгиба угольника — 90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Материал изготовления угольника — полипропилен. Предел текучести при растяжении материала изготовления угольника — в диапазоне конкретных значений с нижним пределом от 21 и с верхним пределом до 25 Н/мм2.</w:t>
            </w:r>
          </w:p>
        </w:tc>
      </w:tr>
      <w:tr>
        <w:trPr>
          <w:trHeight w:val="3115"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13.</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Обвод.</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Модуль упругости материала изготовления — в диапазоне конкретных значений с нижним пределом не менее 886 и с верхним пределом не более 1243 МПа.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 текучести при растяжении материала изготовления — в диапазоне конкретных значений с нижним пределом не менее 25 и с верхним пределом не более 32 Н/мм2. Максимальная плотность материала изготовления — более 0,91</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г/см3.</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Предел прочности при разрыве материала изготовления — в диапазоне конкретных значений с нижним пределом включительно от 34 и с верхним пределом включительно до 42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Коэффициент теплопроводности материала изготовления — не &gt; 0,25 Вт/(м*°С).</w:t>
            </w:r>
          </w:p>
        </w:tc>
      </w:tr>
      <w:tr>
        <w:trPr>
          <w:trHeight w:val="216"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5" w:wrap="notBeside" w:vAnchor="text" w:hAnchor="text" w:xAlign="center" w:y="1"/>
              <w:widowControl w:val="0"/>
              <w:rPr>
                <w:sz w:val="10"/>
                <w:szCs w:val="10"/>
              </w:rPr>
            </w:pPr>
          </w:p>
        </w:tc>
      </w:tr>
      <w:tr>
        <w:trPr>
          <w:trHeight w:val="3322"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17.</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Тройник тип 1.</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Коэффициент местного гидравлического сопротивления тройника при разделении потока — менее 1,4. Минимальный предел прочности при разрыве материала изготовления тройника — свыше 32 Н/мм2. Коэффициент теплопроводности материала изготовления тройника — включительно до 0,25 Вт/(м^°С). Минимальный предел текучести при растяжении материала изготовления тройника — от 25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Материал изготовления — полипропилен. Минимальное относительное удлинение при разрыве материала изготовления тройника — свыше 500 %.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Модуль упругости материала изготовления тройника — в диапазоне конкретных значений с нижним пределом &gt; 890 и с верхним пределом не более 1250 МПа. Коэффициент местного гидравлического сопротивления тройника при соединении потока — до 1.</w:t>
            </w:r>
          </w:p>
        </w:tc>
      </w:tr>
      <w:tr>
        <w:trPr>
          <w:trHeight w:val="3322"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18.</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Тройник тип 2.</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Минимальный предел прочности при разрыве материала изготовления тройника — свыше 33 Н/мм2. Минимальное относительное удлинение при разрыве материала изготовления тройника — свыше 500 %. Коэффициент теплопроводности материала изготовления тройника — включительно до 0,25 Вт/(м^°С).</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Модуль упругости материала изготовления тройника — в диапазоне конкретных значений с нижним пределом &gt; 890 и с верхним пределом не более 1250 МПа.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Материал изготовления — полипропилен. Коэффициент местного гидравлического сопротивления тройника при разделении потока — менее 1,4. Коэффициент местного гидравлического сопротивления тройника при соединении потока — до 1. Минимальный предел текучести при растяжении материала изготовления тройника — от 25 Н/мм2.</w:t>
            </w:r>
          </w:p>
        </w:tc>
      </w:tr>
      <w:tr>
        <w:trPr>
          <w:trHeight w:val="226" w:hRule="exact"/>
        </w:trPr>
        <w:tc>
          <w:tcPr>
            <w:shd w:val="clear" w:color="auto" w:fill="FFFFFF"/>
            <w:tcBorders>
              <w:lef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60" w:right="0" w:firstLine="0"/>
            </w:pPr>
            <w:r>
              <w:rPr>
                <w:rStyle w:val="CharStyle18"/>
              </w:rPr>
              <w:t>19.</w:t>
            </w:r>
          </w:p>
        </w:tc>
        <w:tc>
          <w:tcPr>
            <w:shd w:val="clear" w:color="auto" w:fill="FFFFFF"/>
            <w:tcBorders>
              <w:lef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Тройник тип 3.</w:t>
            </w:r>
          </w:p>
        </w:tc>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Предел текучести при растяжении материала изготовления</w:t>
            </w:r>
          </w:p>
        </w:tc>
      </w:tr>
    </w:tbl>
    <w:p>
      <w:pPr>
        <w:widowControl w:val="0"/>
        <w:rPr>
          <w:sz w:val="2"/>
          <w:szCs w:val="2"/>
        </w:rPr>
      </w:pPr>
    </w:p>
    <w:tbl>
      <w:tblPr>
        <w:tblOverlap w:val="never"/>
        <w:tblLayout w:type="fixed"/>
        <w:jc w:val="center"/>
      </w:tblPr>
      <w:tblGrid>
        <w:gridCol w:w="504"/>
        <w:gridCol w:w="1781"/>
        <w:gridCol w:w="2933"/>
        <w:gridCol w:w="5218"/>
      </w:tblGrid>
      <w:tr>
        <w:trPr>
          <w:trHeight w:val="634"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тройника — в диапазоне конкретных значений с нижним пределом &gt; 21 и с верхним пределом &lt; 24 Н/мм2. Материал изготовления — полипропилен.</w:t>
            </w:r>
          </w:p>
        </w:tc>
      </w:tr>
      <w:tr>
        <w:trPr>
          <w:trHeight w:val="221"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5" w:wrap="notBeside" w:vAnchor="text" w:hAnchor="text" w:xAlign="center" w:y="1"/>
              <w:widowControl w:val="0"/>
              <w:rPr>
                <w:sz w:val="10"/>
                <w:szCs w:val="10"/>
              </w:rPr>
            </w:pPr>
          </w:p>
        </w:tc>
      </w:tr>
      <w:tr>
        <w:trPr>
          <w:trHeight w:val="422"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34.</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Светильник тип 1.</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Световые технологии или эквивалент</w:t>
            </w: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Световой поток — не менее 3100 и не более 3400 лм.</w:t>
            </w:r>
          </w:p>
        </w:tc>
      </w:tr>
      <w:tr>
        <w:trPr>
          <w:trHeight w:val="840"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35.</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Светильник тип 2.</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Световые Технологии или эквивалент</w:t>
            </w:r>
          </w:p>
        </w:tc>
        <w:tc>
          <w:tcPr>
            <w:shd w:val="clear" w:color="auto" w:fill="FFFFFF"/>
            <w:tcBorders>
              <w:left w:val="single" w:sz="4"/>
              <w:righ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Цветовая температура — 4000 К. Световой поток — &gt; 900 лм.</w:t>
            </w:r>
          </w:p>
        </w:tc>
      </w:tr>
      <w:tr>
        <w:trPr>
          <w:trHeight w:val="216"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5" w:wrap="notBeside" w:vAnchor="text" w:hAnchor="text" w:xAlign="center" w:y="1"/>
              <w:widowControl w:val="0"/>
              <w:rPr>
                <w:sz w:val="10"/>
                <w:szCs w:val="10"/>
              </w:rPr>
            </w:pPr>
          </w:p>
        </w:tc>
      </w:tr>
      <w:tr>
        <w:trPr>
          <w:trHeight w:val="6840"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39.</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1.</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180" w:line="206" w:lineRule="exact"/>
              <w:ind w:left="0" w:right="0" w:firstLine="0"/>
            </w:pPr>
            <w:r>
              <w:rPr>
                <w:rStyle w:val="CharStyle18"/>
              </w:rPr>
              <w:t>Электрическое сопротивление 1 км токопроводящей жилы при температуре 20 °С — не более 0,524 Ом.</w:t>
            </w:r>
          </w:p>
          <w:p>
            <w:pPr>
              <w:pStyle w:val="Style7"/>
              <w:framePr w:w="10435" w:wrap="notBeside" w:vAnchor="text" w:hAnchor="text" w:xAlign="center" w:y="1"/>
              <w:widowControl w:val="0"/>
              <w:keepNext w:val="0"/>
              <w:keepLines w:val="0"/>
              <w:shd w:val="clear" w:color="auto" w:fill="auto"/>
              <w:bidi w:val="0"/>
              <w:jc w:val="center"/>
              <w:spacing w:before="180" w:after="180" w:line="206" w:lineRule="exact"/>
              <w:ind w:left="0" w:right="0" w:firstLine="0"/>
            </w:pPr>
            <w:r>
              <w:rPr>
                <w:rStyle w:val="CharStyle18"/>
              </w:rPr>
              <w:t>Относительное удлинение изоляции при разрыве до старения — включительно от 150 %.</w:t>
            </w:r>
          </w:p>
          <w:p>
            <w:pPr>
              <w:pStyle w:val="Style7"/>
              <w:framePr w:w="10435" w:wrap="notBeside" w:vAnchor="text" w:hAnchor="text" w:xAlign="center" w:y="1"/>
              <w:widowControl w:val="0"/>
              <w:keepNext w:val="0"/>
              <w:keepLines w:val="0"/>
              <w:shd w:val="clear" w:color="auto" w:fill="auto"/>
              <w:bidi w:val="0"/>
              <w:jc w:val="center"/>
              <w:spacing w:before="180" w:after="0" w:line="206" w:lineRule="exact"/>
              <w:ind w:left="0" w:right="0" w:firstLine="0"/>
            </w:pPr>
            <w:r>
              <w:rPr>
                <w:rStyle w:val="CharStyle18"/>
              </w:rPr>
              <w:t>Относительное удлинение изоляции при разрыве после старения — включительно от 125 %.</w:t>
            </w:r>
          </w:p>
          <w:p>
            <w:pPr>
              <w:pStyle w:val="Style7"/>
              <w:framePr w:w="10435" w:wrap="notBeside" w:vAnchor="text" w:hAnchor="text" w:xAlign="center" w:y="1"/>
              <w:widowControl w:val="0"/>
              <w:keepNext w:val="0"/>
              <w:keepLines w:val="0"/>
              <w:shd w:val="clear" w:color="auto" w:fill="auto"/>
              <w:bidi w:val="0"/>
              <w:jc w:val="center"/>
              <w:spacing w:before="0" w:after="180" w:line="206" w:lineRule="exact"/>
              <w:ind w:left="0" w:right="0" w:firstLine="0"/>
            </w:pPr>
            <w:r>
              <w:rPr>
                <w:rStyle w:val="CharStyle18"/>
              </w:rPr>
              <w:t>Относительное удлинение наружной оболочки при разрыве до старения — не менее 150 %.</w:t>
            </w:r>
          </w:p>
          <w:p>
            <w:pPr>
              <w:pStyle w:val="Style7"/>
              <w:framePr w:w="10435" w:wrap="notBeside" w:vAnchor="text" w:hAnchor="text" w:xAlign="center" w:y="1"/>
              <w:widowControl w:val="0"/>
              <w:keepNext w:val="0"/>
              <w:keepLines w:val="0"/>
              <w:shd w:val="clear" w:color="auto" w:fill="auto"/>
              <w:bidi w:val="0"/>
              <w:jc w:val="center"/>
              <w:spacing w:before="180" w:after="0" w:line="206" w:lineRule="exact"/>
              <w:ind w:left="0" w:right="0" w:firstLine="0"/>
            </w:pPr>
            <w:r>
              <w:rPr>
                <w:rStyle w:val="CharStyle18"/>
              </w:rPr>
              <w:t>Глубина продавливания наружной оболочки при высокой температуре — включительно до 50 %. Номинальное переменное напряжение между основными токопроводящими жилами кабеля — &gt; 0,66 кВ. Прочность изоляции при разрыве после старения — не менее 10</w:t>
            </w:r>
          </w:p>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наружной оболочки при разрыве после старения — включительно от 10 Н/мм2.</w:t>
            </w:r>
          </w:p>
          <w:p>
            <w:pPr>
              <w:pStyle w:val="Style7"/>
              <w:framePr w:w="10435" w:wrap="notBeside" w:vAnchor="text" w:hAnchor="text" w:xAlign="center" w:y="1"/>
              <w:widowControl w:val="0"/>
              <w:keepNext w:val="0"/>
              <w:keepLines w:val="0"/>
              <w:shd w:val="clear" w:color="auto" w:fill="auto"/>
              <w:bidi w:val="0"/>
              <w:jc w:val="center"/>
              <w:spacing w:before="0" w:after="180" w:line="206" w:lineRule="exact"/>
              <w:ind w:left="0" w:right="0" w:firstLine="0"/>
            </w:pPr>
            <w:r>
              <w:rPr>
                <w:rStyle w:val="CharStyle18"/>
              </w:rPr>
              <w:t>Вид материала наружной оболочки — поливинилхлоридный пластикат пониженной пожарной опасности. Относительное удлинение наружной оболочки при разрыве после старения — не менее 125 %.</w:t>
            </w:r>
          </w:p>
          <w:p>
            <w:pPr>
              <w:pStyle w:val="Style7"/>
              <w:framePr w:w="10435" w:wrap="notBeside" w:vAnchor="text" w:hAnchor="text" w:xAlign="center" w:y="1"/>
              <w:widowControl w:val="0"/>
              <w:keepNext w:val="0"/>
              <w:keepLines w:val="0"/>
              <w:shd w:val="clear" w:color="auto" w:fill="auto"/>
              <w:bidi w:val="0"/>
              <w:jc w:val="center"/>
              <w:spacing w:before="180" w:after="0" w:line="197" w:lineRule="exact"/>
              <w:ind w:left="0" w:right="0" w:firstLine="0"/>
            </w:pPr>
            <w:r>
              <w:rPr>
                <w:rStyle w:val="CharStyle18"/>
              </w:rPr>
              <w:t>Прочность изоляции при разрыве до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Максимальное напряжение — &gt; 0,792 кВ. Допустимый ток односекундного короткого замыкания — &gt; 3,86</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кА.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изоляции при высокой температуре — не более 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наружной оболочки при разрыве до старения — включительно от 10 Н/мм2.</w:t>
            </w:r>
          </w:p>
        </w:tc>
      </w:tr>
      <w:tr>
        <w:trPr>
          <w:trHeight w:val="5400" w:hRule="exact"/>
        </w:trPr>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40.</w:t>
            </w:r>
          </w:p>
        </w:tc>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2.</w:t>
            </w:r>
          </w:p>
        </w:tc>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Допустимый ток односекундного короткого замыкания — не менее 1,74 кА.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изоляции при высокой температуре — не более 50 %.</w:t>
            </w:r>
          </w:p>
          <w:p>
            <w:pPr>
              <w:pStyle w:val="Style7"/>
              <w:framePr w:w="10435" w:wrap="notBeside" w:vAnchor="text" w:hAnchor="text" w:xAlign="center" w:y="1"/>
              <w:widowControl w:val="0"/>
              <w:keepNext w:val="0"/>
              <w:keepLines w:val="0"/>
              <w:shd w:val="clear" w:color="auto" w:fill="auto"/>
              <w:bidi w:val="0"/>
              <w:jc w:val="center"/>
              <w:spacing w:before="0" w:after="180" w:line="206" w:lineRule="exact"/>
              <w:ind w:left="0" w:right="0" w:firstLine="0"/>
            </w:pPr>
            <w:r>
              <w:rPr>
                <w:rStyle w:val="CharStyle18"/>
              </w:rPr>
              <w:t>Относительное удлинение изоляции при разрыве после старения — не менее 125 %.</w:t>
            </w:r>
          </w:p>
          <w:p>
            <w:pPr>
              <w:pStyle w:val="Style7"/>
              <w:framePr w:w="10435" w:wrap="notBeside" w:vAnchor="text" w:hAnchor="text" w:xAlign="center" w:y="1"/>
              <w:widowControl w:val="0"/>
              <w:keepNext w:val="0"/>
              <w:keepLines w:val="0"/>
              <w:shd w:val="clear" w:color="auto" w:fill="auto"/>
              <w:bidi w:val="0"/>
              <w:jc w:val="center"/>
              <w:spacing w:before="180" w:after="0" w:line="211" w:lineRule="exact"/>
              <w:ind w:left="0" w:right="0" w:firstLine="0"/>
            </w:pPr>
            <w:r>
              <w:rPr>
                <w:rStyle w:val="CharStyle18"/>
              </w:rPr>
              <w:t>Относительное удлинение наружной оболочки при разрыве после старения — не менее 125 %.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Электрическое сопротивление 1 км токопроводящей жилы при температуре 20 °С — не более 1,15 Ом.</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изоляции при разрыве после старения — не менее 10</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материала изоляции токопроводящей жилы — изоляция из поливинилхлоридного пластиката пониженной пожарной опасности.</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наружной оболочки при разрыве после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Материал токопроводящей жилы — медная токопроводящая жила.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изоляции при разрыве до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Номинальное переменное напряжение между основными токопроводящими жилами кабеля — не более 0,66 кВ. Прочность наружной оболочки при разрыве до старения — не</w:t>
            </w:r>
          </w:p>
        </w:tc>
      </w:tr>
    </w:tbl>
    <w:p>
      <w:pPr>
        <w:widowControl w:val="0"/>
        <w:rPr>
          <w:sz w:val="2"/>
          <w:szCs w:val="2"/>
        </w:rPr>
      </w:pPr>
    </w:p>
    <w:tbl>
      <w:tblPr>
        <w:tblOverlap w:val="never"/>
        <w:tblLayout w:type="fixed"/>
        <w:jc w:val="center"/>
      </w:tblPr>
      <w:tblGrid>
        <w:gridCol w:w="504"/>
        <w:gridCol w:w="1781"/>
        <w:gridCol w:w="2933"/>
        <w:gridCol w:w="5218"/>
      </w:tblGrid>
      <w:tr>
        <w:trPr>
          <w:trHeight w:val="1464"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наружной оболочки при разрыве до старения — не менее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изоляции при разрыве до старения — не менее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наружной оболочки при высокой температуре — не более 50 %.</w:t>
            </w:r>
          </w:p>
        </w:tc>
      </w:tr>
      <w:tr>
        <w:trPr>
          <w:trHeight w:val="7670"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41.</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3.</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наружной оболочки при высокой температуре — не более 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материала наружной оболочки — поливинилхлоридный пластикат пониженной пожарной опасности. Электрическое сопротивление одного километра токопроводящей жилы при температуре 20 °С — не более 1,83</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Ом.</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Выдерживаемое кабелем воздействие постоянного напряжения в течение 10 минут — не более 7,2 кВ.</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наружной оболочки при разрыве до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изоляции при высокой температуре — не более 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изоляции при разрыве после старения — не менее 125 %.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Форма поперечного сечения кабеля — круглая. Относительное удлинение наружной оболочки при разрыве после старения — не менее 125 %.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наружной оболочки при разрыве до старения — не менее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наружной оболочки при разрыве после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изоляции при разрыве до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Номинальное переменное напряжение между основными токопроводящими жилами кабеля — не менее 0,66 кВ.</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материала изоляции токопроводящей жилы — изоляция из поливинилхлоридного пластиката пониженной пожарной опасности.</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изоляции при разрыве после старения — не менее 10</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изоляции при разрыве до старения — не менее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Постоянная электрического сопротивления изоляции при длительно допустимой температуре нагрева токопроводящих жил — не менее 0,037 МОм^км.</w:t>
            </w:r>
          </w:p>
        </w:tc>
      </w:tr>
      <w:tr>
        <w:trPr>
          <w:trHeight w:val="5400" w:hRule="exact"/>
        </w:trPr>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42.</w:t>
            </w:r>
          </w:p>
        </w:tc>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4.</w:t>
            </w:r>
          </w:p>
        </w:tc>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Электрическое сопротивление 1 км токопроводящей жилы при температуре 20 °С — не более 7,41 Ом.</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Материал токопроводящей жилы — медная токопроводящая жила.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Максимальное напряжение — не &lt; 0,792 кВ. Прочность наружной оболочки при разрыве после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наружной оболочки при высокой температуре — не более 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изоляции при высокой температуре — не более 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наружной оболочки при разрыве до старения — не менее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наружной оболочки при разрыве после старения — не менее 125 %.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изоляции при разрыве до старения — не менее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материала изоляции токопроводящей жилы — изоляция из поливинилхлоридного пластиката пониженной пожарной опасности.</w:t>
            </w:r>
          </w:p>
          <w:p>
            <w:pPr>
              <w:pStyle w:val="Style7"/>
              <w:framePr w:w="10435" w:wrap="notBeside" w:vAnchor="text" w:hAnchor="text" w:xAlign="center" w:y="1"/>
              <w:widowControl w:val="0"/>
              <w:keepNext w:val="0"/>
              <w:keepLines w:val="0"/>
              <w:shd w:val="clear" w:color="auto" w:fill="auto"/>
              <w:bidi w:val="0"/>
              <w:jc w:val="center"/>
              <w:spacing w:before="0" w:after="180" w:line="206" w:lineRule="exact"/>
              <w:ind w:left="0" w:right="0" w:firstLine="0"/>
            </w:pPr>
            <w:r>
              <w:rPr>
                <w:rStyle w:val="CharStyle18"/>
              </w:rPr>
              <w:t>Прочность изоляции при разрыве до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180" w:after="0" w:line="206" w:lineRule="exact"/>
              <w:ind w:left="0" w:right="0" w:firstLine="0"/>
            </w:pPr>
            <w:r>
              <w:rPr>
                <w:rStyle w:val="CharStyle18"/>
              </w:rPr>
              <w:t>Относительное удлинение изоляции при разрыве после старения — не менее 125 %.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материала наружной оболочки — поливинилхлоридный</w:t>
            </w:r>
          </w:p>
        </w:tc>
      </w:tr>
    </w:tbl>
    <w:p>
      <w:pPr>
        <w:widowControl w:val="0"/>
        <w:rPr>
          <w:sz w:val="2"/>
          <w:szCs w:val="2"/>
        </w:rPr>
      </w:pPr>
    </w:p>
    <w:tbl>
      <w:tblPr>
        <w:tblOverlap w:val="never"/>
        <w:tblLayout w:type="fixed"/>
        <w:jc w:val="center"/>
      </w:tblPr>
      <w:tblGrid>
        <w:gridCol w:w="504"/>
        <w:gridCol w:w="1781"/>
        <w:gridCol w:w="2933"/>
        <w:gridCol w:w="5218"/>
      </w:tblGrid>
      <w:tr>
        <w:trPr>
          <w:trHeight w:val="1464"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пластикат пониженной пожарной опасности. Прочность изоляции при разрыве после старения — не менее 10</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наружной оболочки при разрыве до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Выдерживаемое кабелем воздействие постоянного напряжение в течение 10 минут — &gt; 7,2 кВ.</w:t>
            </w:r>
          </w:p>
        </w:tc>
      </w:tr>
      <w:tr>
        <w:trPr>
          <w:trHeight w:val="7670"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43.</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5.</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изоляции при разрыве до старения — не &lt;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Исполнение в части показателей пожарной опасности — огнестойкое, не распространяющее горение при групповой прокладке по категории А, с пониженным дымо- и газовыделением.</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наружной оболочки при разрыве после старения — &gt; 125 %.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изоляции при разрыве до старения — не &lt; 10 Н/мм2. Термический барьер из слюдосодержащей ленты наложенный поверх токопроводящей жилы — наличие. Максимальное напряжение — не менее 0,792 кВ.</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материала изоляции токопроводящей жилы — изоляция из поливинилхлоридного пластиката пониженной пожарной опасности.</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изоляции при разрыве после старения — &gt; 125 %.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наружной оболочки при высокой температуре — &lt; 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Номинальное переменное напряжение между основными токопроводящими жилами кабеля — не менее 0,66 кВ. Прочность наружной оболочки при разрыве до старения — &gt; 10</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Электрическое сопротивление 1 км токопроводящей жилы при температуре 20 °С — &lt; 12,1 Ом.</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материала наружной оболочки — поливинилхлоридный пластикат пониженной пожарной опасности. Прочность наружной оболочки при разрыве после старения — не &lt;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изоляции при разрыве после старения — &gt; 10 Н/мм2. Материал токопроводящей жилы — медная токопроводящая жила.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наружной оболочки при разрыве до старения — не &lt;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Форма поперечного сечения кабеля — круглая.</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изоляции при высокой температуре — &lt;</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50 %.</w:t>
            </w:r>
          </w:p>
        </w:tc>
      </w:tr>
      <w:tr>
        <w:trPr>
          <w:trHeight w:val="5400" w:hRule="exact"/>
        </w:trPr>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44.</w:t>
            </w:r>
          </w:p>
        </w:tc>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6.</w:t>
            </w:r>
          </w:p>
        </w:tc>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изоляции при разрыве до старения — не менее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Максимальное напряжение — не &lt; 0,792 кВ. Номинальное переменное напряжение между основными токопроводящими жилами кабеля — не менее 0,66 кВ. Выдерживаемое кабелем воздействие постоянного напряжение в течение 10 минут — &gt; 7,2 кВ.</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наружной оболочки при высокой температуре — не более 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Исполнение в части показателей пожарной опасности — не распространяющее горение при групповой прокладке по категории А, с пониженным дымо- и газовыделением. Электрическое сопротивление 1 км токопроводящей жилы при температуре 20 °С — не более 12,1 Ом. Относительное удлинение изоляции при разрыве после старения — не менее 125 %.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изоляции при разрыве после старения — не менее 10</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Форма поперечного сечения кабеля — круглая. Прочность изоляции при разрыве до старения — 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наружной оболочки при разрыве до старения — не менее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наружной оболочки при разрыве после старения — не менее 125 %.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наружной оболочки при разрыве после старения —</w:t>
            </w:r>
          </w:p>
        </w:tc>
      </w:tr>
    </w:tbl>
    <w:p>
      <w:pPr>
        <w:widowControl w:val="0"/>
        <w:rPr>
          <w:sz w:val="2"/>
          <w:szCs w:val="2"/>
        </w:rPr>
      </w:pPr>
    </w:p>
    <w:tbl>
      <w:tblPr>
        <w:tblOverlap w:val="never"/>
        <w:tblLayout w:type="fixed"/>
        <w:jc w:val="center"/>
      </w:tblPr>
      <w:tblGrid>
        <w:gridCol w:w="504"/>
        <w:gridCol w:w="1781"/>
        <w:gridCol w:w="2933"/>
        <w:gridCol w:w="5218"/>
      </w:tblGrid>
      <w:tr>
        <w:trPr>
          <w:trHeight w:val="2501"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не менее 10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материала изоляции токопроводящей жилы — изоляция из поливинилхлоридного пластиката пониженной пожарной опасности.</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материала наружной оболочки — поливинилхлоридный пластикат пониженной пожарной опасности. Материал токопроводящей жилы — медная токопроводящая жила.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изоляции при высокой температуре — не более 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наружной оболочки при разрыве до старения — не менее 10 Н/мм2.</w:t>
            </w:r>
          </w:p>
        </w:tc>
      </w:tr>
      <w:tr>
        <w:trPr>
          <w:trHeight w:val="1042"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45.</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Труба тип 4.</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Выдерживаемое гидравлическое давление — &gt; 2,4 МПа. Уменьшение полезной длины резьбы (без сбега) — не более 15</w:t>
            </w:r>
          </w:p>
          <w:p>
            <w:pPr>
              <w:pStyle w:val="Style7"/>
              <w:framePr w:w="10435" w:wrap="notBeside" w:vAnchor="text" w:hAnchor="text" w:xAlign="center" w:y="1"/>
              <w:widowControl w:val="0"/>
              <w:keepNext w:val="0"/>
              <w:keepLines w:val="0"/>
              <w:shd w:val="clear" w:color="auto" w:fill="auto"/>
              <w:bidi w:val="0"/>
              <w:jc w:val="center"/>
              <w:spacing w:before="0" w:after="180" w:line="206" w:lineRule="exact"/>
              <w:ind w:left="0" w:right="0" w:firstLine="0"/>
            </w:pPr>
            <w:r>
              <w:rPr>
                <w:rStyle w:val="CharStyle18"/>
              </w:rPr>
              <w:t>%.</w:t>
            </w:r>
          </w:p>
          <w:p>
            <w:pPr>
              <w:pStyle w:val="Style7"/>
              <w:framePr w:w="10435" w:wrap="notBeside" w:vAnchor="text" w:hAnchor="text" w:xAlign="center" w:y="1"/>
              <w:widowControl w:val="0"/>
              <w:keepNext w:val="0"/>
              <w:keepLines w:val="0"/>
              <w:shd w:val="clear" w:color="auto" w:fill="auto"/>
              <w:bidi w:val="0"/>
              <w:jc w:val="center"/>
              <w:spacing w:before="180" w:after="0" w:line="170" w:lineRule="exact"/>
              <w:ind w:left="0" w:right="0" w:firstLine="0"/>
            </w:pPr>
            <w:r>
              <w:rPr>
                <w:rStyle w:val="CharStyle18"/>
              </w:rPr>
              <w:t>Кривизна трубы на 1 м длины — не &gt; 1,5 мм.</w:t>
            </w:r>
          </w:p>
        </w:tc>
      </w:tr>
      <w:tr>
        <w:trPr>
          <w:trHeight w:val="1046"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46.</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Труба тип 5.</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Кривизна трубы на 1 м длины — не более 2 мм. Уменьшение полезной длины резьбы (без сбега) — не более 15</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Выдерживаемое гидравлическое давление — не менее 2,4 МПа.</w:t>
            </w:r>
          </w:p>
        </w:tc>
      </w:tr>
      <w:tr>
        <w:trPr>
          <w:trHeight w:val="1666"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47.</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Труба тип 6.</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lang w:val="en-US" w:eastAsia="en-US" w:bidi="en-US"/>
              </w:rPr>
              <w:t xml:space="preserve">IEK </w:t>
            </w:r>
            <w:r>
              <w:rPr>
                <w:rStyle w:val="CharStyle18"/>
              </w:rPr>
              <w:t>или эквивалент</w:t>
            </w:r>
          </w:p>
        </w:tc>
        <w:tc>
          <w:tcPr>
            <w:shd w:val="clear" w:color="auto" w:fill="FFFFFF"/>
            <w:tcBorders>
              <w:left w:val="single" w:sz="4"/>
              <w:righ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Минимальное сопротивление сжатию при 20 °С на 5 см — от 340 Н.</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Вид трубы — гофрированный.</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Электрическое сопротивление при напряжении 500 В в течение 1 мин — не менее 100 МОм.</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 xml:space="preserve">Степень защиты — не менее </w:t>
            </w:r>
            <w:r>
              <w:rPr>
                <w:rStyle w:val="CharStyle18"/>
                <w:lang w:val="en-US" w:eastAsia="en-US" w:bidi="en-US"/>
              </w:rPr>
              <w:t>IP55.</w:t>
            </w:r>
          </w:p>
        </w:tc>
      </w:tr>
      <w:tr>
        <w:trPr>
          <w:trHeight w:val="216"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5" w:wrap="notBeside" w:vAnchor="text" w:hAnchor="text" w:xAlign="center" w:y="1"/>
              <w:widowControl w:val="0"/>
              <w:rPr>
                <w:sz w:val="10"/>
                <w:szCs w:val="10"/>
              </w:rPr>
            </w:pPr>
          </w:p>
        </w:tc>
      </w:tr>
      <w:tr>
        <w:trPr>
          <w:trHeight w:val="1459" w:hRule="exact"/>
        </w:trPr>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68.</w:t>
            </w:r>
          </w:p>
        </w:tc>
        <w:tc>
          <w:tcPr>
            <w:shd w:val="clear" w:color="auto" w:fill="FFFFFF"/>
            <w:tcBorders>
              <w:left w:val="single" w:sz="4"/>
              <w:top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Кабель тип 7.</w:t>
            </w: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center"/>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Максимальное электрическое сопротивление токопроводящей жилы постоянному току при температуре 20 °С — &lt; 25,5 Ом/км. Минимальное электрическое сопротивление изоляции токопроводящих жил при температуре 20 °С — не менее 100 МОмжм.</w:t>
            </w:r>
          </w:p>
        </w:tc>
      </w:tr>
      <w:tr>
        <w:trPr>
          <w:trHeight w:val="216" w:hRule="exact"/>
        </w:trPr>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top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435" w:wrap="notBeside" w:vAnchor="text" w:hAnchor="text" w:xAlign="center" w:y="1"/>
              <w:widowControl w:val="0"/>
              <w:rPr>
                <w:sz w:val="10"/>
                <w:szCs w:val="10"/>
              </w:rPr>
            </w:pPr>
          </w:p>
        </w:tc>
      </w:tr>
      <w:tr>
        <w:trPr>
          <w:trHeight w:val="3542" w:hRule="exact"/>
        </w:trPr>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left"/>
              <w:spacing w:before="0" w:after="0" w:line="170" w:lineRule="exact"/>
              <w:ind w:left="140" w:right="0" w:firstLine="0"/>
            </w:pPr>
            <w:r>
              <w:rPr>
                <w:rStyle w:val="CharStyle18"/>
              </w:rPr>
              <w:t>84.</w:t>
            </w:r>
          </w:p>
        </w:tc>
        <w:tc>
          <w:tcPr>
            <w:shd w:val="clear" w:color="auto" w:fill="FFFFFF"/>
            <w:tcBorders>
              <w:left w:val="single" w:sz="4"/>
              <w:top w:val="single" w:sz="4"/>
              <w:bottom w:val="single" w:sz="4"/>
            </w:tcBorders>
            <w:vAlign w:val="top"/>
          </w:tcPr>
          <w:p>
            <w:pPr>
              <w:pStyle w:val="Style7"/>
              <w:framePr w:w="10435" w:wrap="notBeside" w:vAnchor="text" w:hAnchor="text" w:xAlign="center" w:y="1"/>
              <w:widowControl w:val="0"/>
              <w:keepNext w:val="0"/>
              <w:keepLines w:val="0"/>
              <w:shd w:val="clear" w:color="auto" w:fill="auto"/>
              <w:bidi w:val="0"/>
              <w:jc w:val="center"/>
              <w:spacing w:before="0" w:after="0" w:line="170" w:lineRule="exact"/>
              <w:ind w:left="0" w:right="0" w:firstLine="0"/>
            </w:pPr>
            <w:r>
              <w:rPr>
                <w:rStyle w:val="CharStyle18"/>
              </w:rPr>
              <w:t>Провод.</w:t>
            </w:r>
          </w:p>
        </w:tc>
        <w:tc>
          <w:tcPr>
            <w:shd w:val="clear" w:color="auto" w:fill="FFFFFF"/>
            <w:tcBorders>
              <w:left w:val="single" w:sz="4"/>
              <w:top w:val="single" w:sz="4"/>
              <w:bottom w:val="single" w:sz="4"/>
            </w:tcBorders>
            <w:vAlign w:val="top"/>
          </w:tcPr>
          <w:p>
            <w:pPr>
              <w:framePr w:w="10435"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bottom"/>
          </w:tcPr>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изоляции при разрыве после старения — не &lt;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Глубина продавливания изоляции при высокой температуре — не &gt; 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Электрическое сопротивление изоляции провода пересчитанное на длину 1 км при температуре 20 °С — не &lt; 5 МОм. Материал изготовления токопроводящей жилы — медная отожженная проволока.</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изоляции при разрыве после старения — &gt; 12,5 Н/мм2.</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Относительное удлинение изоляции при разрыве до старения — &gt; 150 %.</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Тип изделия — провод установочный.</w:t>
            </w:r>
          </w:p>
          <w:p>
            <w:pPr>
              <w:pStyle w:val="Style7"/>
              <w:framePr w:w="10435" w:wrap="notBeside" w:vAnchor="text" w:hAnchor="text" w:xAlign="center" w:y="1"/>
              <w:widowControl w:val="0"/>
              <w:keepNext w:val="0"/>
              <w:keepLines w:val="0"/>
              <w:shd w:val="clear" w:color="auto" w:fill="auto"/>
              <w:bidi w:val="0"/>
              <w:jc w:val="center"/>
              <w:spacing w:before="0" w:after="0" w:line="206" w:lineRule="exact"/>
              <w:ind w:left="0" w:right="0" w:firstLine="0"/>
            </w:pPr>
            <w:r>
              <w:rPr>
                <w:rStyle w:val="CharStyle18"/>
              </w:rPr>
              <w:t>Прочность изоляции при разрыве до старения — &gt; 12,5 Н/мм2. Вид материала изоляции — поливинилхлоридный пластикат. Электрическое сопротивление 1 км токопроводящей жилы при температуре 20°С — не более 4,61 Ом.</w:t>
            </w:r>
          </w:p>
        </w:tc>
      </w:tr>
    </w:tbl>
    <w:p>
      <w:pPr>
        <w:widowControl w:val="0"/>
        <w:rPr>
          <w:sz w:val="2"/>
          <w:szCs w:val="2"/>
        </w:rPr>
      </w:pPr>
    </w:p>
    <w:p>
      <w:pPr>
        <w:pStyle w:val="Style7"/>
        <w:widowControl w:val="0"/>
        <w:keepNext w:val="0"/>
        <w:keepLines w:val="0"/>
        <w:shd w:val="clear" w:color="auto" w:fill="auto"/>
        <w:bidi w:val="0"/>
        <w:jc w:val="both"/>
        <w:spacing w:before="49" w:after="0" w:line="260" w:lineRule="exact"/>
        <w:ind w:left="120" w:right="0" w:firstLine="880"/>
      </w:pPr>
      <w:r>
        <w:rPr>
          <w:rStyle w:val="CharStyle22"/>
        </w:rPr>
        <w:t>...»</w:t>
      </w:r>
      <w:r>
        <w:rPr>
          <w:lang w:val="ru-RU" w:eastAsia="ru-RU" w:bidi="ru-RU"/>
          <w:w w:val="100"/>
          <w:spacing w:val="0"/>
          <w:color w:val="000000"/>
          <w:position w:val="0"/>
        </w:rPr>
        <w:t xml:space="preserve"> (цитаты).</w:t>
      </w:r>
    </w:p>
    <w:p>
      <w:pPr>
        <w:pStyle w:val="Style7"/>
        <w:widowControl w:val="0"/>
        <w:keepNext w:val="0"/>
        <w:keepLines w:val="0"/>
        <w:shd w:val="clear" w:color="auto" w:fill="auto"/>
        <w:bidi w:val="0"/>
        <w:jc w:val="both"/>
        <w:spacing w:before="0" w:after="0"/>
        <w:ind w:left="120" w:right="140" w:firstLine="880"/>
      </w:pPr>
      <w:r>
        <w:rPr>
          <w:lang w:val="ru-RU" w:eastAsia="ru-RU" w:bidi="ru-RU"/>
          <w:w w:val="100"/>
          <w:spacing w:val="0"/>
          <w:color w:val="000000"/>
          <w:position w:val="0"/>
        </w:rPr>
        <w:t>Учитывая, что Закон о контрактной системе не обязывает участника Аукциона в момент подачи заявки на участие в Аукционе иметь в наличии товар, подлежащий описанию в соответствии с требованиями документации об Аукционе, вышеприведенные примеры подробного изложения в документации об Аукционе требований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w:t>
      </w:r>
    </w:p>
    <w:p>
      <w:pPr>
        <w:pStyle w:val="Style7"/>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Следовательно, действия Заказчика, установившего требование к описанию участниками Аукциона в заявке на участие в Аукционе путем предоставления показателей и их значений, как в виде одного значения, диапазона значений, так и сохранения неизменного значения, химический состав и компоненты товара, и показатели испытания товара, показатели, значения которых становятся известными при испытании определенной партии товара после его производства, используемых при выполнении работ, нарушают часть 6 статьи 66 Закона о контрактной системе.</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Данные действия Заказчика нарушают требования пункта 2 части 1 статьи 64, части 6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об административных правонарушениях.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Кроме того, Комиссией установлено, что техническое задание документации об Аукционе составлено Заказчиком ненадлежащим образом - разбросано в несколько таблиц, а именно: таблица 1 «Показатели, относящиеся к массе», таблица 2 «Показатели, относящиеся к размерам», таблица 3 «Показатели, относящиеся к предельным отклонениям», таблица 4 «Общие показатели», вводящее участников закупки в заблуждение, что приводит к сложности в формировании и подачи заявок для участников.</w:t>
      </w:r>
    </w:p>
    <w:p>
      <w:pPr>
        <w:pStyle w:val="Style7"/>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Вышеуказанные действия Заказчика нарушают требования пунктов 1, 2 части 1 статьи 33, части 2 статьи 33, пункта 1 части 1 статьи 64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7"/>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 статьи 106 Закона о контрактной системе, Административным регламентом от</w:t>
      </w:r>
    </w:p>
    <w:p>
      <w:pPr>
        <w:pStyle w:val="Style7"/>
        <w:numPr>
          <w:ilvl w:val="0"/>
          <w:numId w:val="17"/>
        </w:numPr>
        <w:tabs>
          <w:tab w:leader="none" w:pos="1365" w:val="left"/>
        </w:tabs>
        <w:widowControl w:val="0"/>
        <w:keepNext w:val="0"/>
        <w:keepLines w:val="0"/>
        <w:shd w:val="clear" w:color="auto" w:fill="auto"/>
        <w:bidi w:val="0"/>
        <w:jc w:val="both"/>
        <w:spacing w:before="0" w:after="109"/>
        <w:ind w:left="20" w:right="0" w:firstLine="0"/>
      </w:pPr>
      <w:r>
        <w:rPr>
          <w:lang w:val="ru-RU" w:eastAsia="ru-RU" w:bidi="ru-RU"/>
          <w:w w:val="100"/>
          <w:spacing w:val="0"/>
          <w:color w:val="000000"/>
          <w:position w:val="0"/>
        </w:rPr>
        <w:t>№727/14, Комиссия</w:t>
      </w:r>
    </w:p>
    <w:p>
      <w:pPr>
        <w:pStyle w:val="Style7"/>
        <w:widowControl w:val="0"/>
        <w:keepNext w:val="0"/>
        <w:keepLines w:val="0"/>
        <w:shd w:val="clear" w:color="auto" w:fill="auto"/>
        <w:bidi w:val="0"/>
        <w:jc w:val="center"/>
        <w:spacing w:before="0" w:after="117" w:line="260" w:lineRule="exact"/>
        <w:ind w:left="0" w:right="0" w:firstLine="0"/>
      </w:pPr>
      <w:r>
        <w:rPr>
          <w:lang w:val="ru-RU" w:eastAsia="ru-RU" w:bidi="ru-RU"/>
          <w:w w:val="100"/>
          <w:spacing w:val="0"/>
          <w:color w:val="000000"/>
          <w:position w:val="0"/>
        </w:rPr>
        <w:t>РЕШИЛА:</w:t>
      </w:r>
    </w:p>
    <w:p>
      <w:pPr>
        <w:pStyle w:val="Style7"/>
        <w:numPr>
          <w:ilvl w:val="0"/>
          <w:numId w:val="19"/>
        </w:numPr>
        <w:widowControl w:val="0"/>
        <w:keepNext w:val="0"/>
        <w:keepLines w:val="0"/>
        <w:shd w:val="clear" w:color="auto" w:fill="auto"/>
        <w:bidi w:val="0"/>
        <w:jc w:val="both"/>
        <w:spacing w:before="0" w:after="68" w:line="260" w:lineRule="exact"/>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7"/>
        <w:numPr>
          <w:ilvl w:val="0"/>
          <w:numId w:val="19"/>
        </w:numPr>
        <w:widowControl w:val="0"/>
        <w:keepNext w:val="0"/>
        <w:keepLines w:val="0"/>
        <w:shd w:val="clear" w:color="auto" w:fill="auto"/>
        <w:bidi w:val="0"/>
        <w:jc w:val="both"/>
        <w:spacing w:before="0" w:after="56"/>
        <w:ind w:left="20" w:right="20" w:firstLine="860"/>
      </w:pPr>
      <w:r>
        <w:rPr>
          <w:lang w:val="ru-RU" w:eastAsia="ru-RU" w:bidi="ru-RU"/>
          <w:w w:val="100"/>
          <w:spacing w:val="0"/>
          <w:color w:val="000000"/>
          <w:position w:val="0"/>
        </w:rPr>
        <w:t xml:space="preserve"> Признать Заказчика нарушившим требования пунктов 1, 2 части 1 статьи 33, части 2 статьи 33, пунктов 1, 2 части 1 статьи 64, части 6 статьи 66 Закона о контрактной системе.</w:t>
      </w:r>
    </w:p>
    <w:p>
      <w:pPr>
        <w:pStyle w:val="Style7"/>
        <w:numPr>
          <w:ilvl w:val="0"/>
          <w:numId w:val="19"/>
        </w:numPr>
        <w:widowControl w:val="0"/>
        <w:keepNext w:val="0"/>
        <w:keepLines w:val="0"/>
        <w:shd w:val="clear" w:color="auto" w:fill="auto"/>
        <w:bidi w:val="0"/>
        <w:jc w:val="both"/>
        <w:spacing w:before="0" w:after="64" w:line="326" w:lineRule="exact"/>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7"/>
        <w:numPr>
          <w:ilvl w:val="0"/>
          <w:numId w:val="19"/>
        </w:numPr>
        <w:widowControl w:val="0"/>
        <w:keepNext w:val="0"/>
        <w:keepLines w:val="0"/>
        <w:shd w:val="clear" w:color="auto" w:fill="auto"/>
        <w:bidi w:val="0"/>
        <w:jc w:val="both"/>
        <w:spacing w:before="0" w:after="6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№06/4233-17 для рассмотрения вопроса о возбуждении дела об административном правонарушении.</w:t>
      </w:r>
    </w:p>
    <w:p>
      <w:pPr>
        <w:pStyle w:val="Style7"/>
        <w:numPr>
          <w:ilvl w:val="0"/>
          <w:numId w:val="1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№06/12676.</w:t>
      </w:r>
    </w:p>
    <w:p>
      <w:pPr>
        <w:pStyle w:val="Style7"/>
        <w:widowControl w:val="0"/>
        <w:keepNext w:val="0"/>
        <w:keepLines w:val="0"/>
        <w:shd w:val="clear" w:color="auto" w:fill="auto"/>
        <w:bidi w:val="0"/>
        <w:jc w:val="left"/>
        <w:spacing w:before="0" w:after="163"/>
        <w:ind w:left="0" w:right="260" w:firstLine="84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7"/>
        <w:tabs>
          <w:tab w:leader="none" w:pos="8059" w:val="right"/>
          <w:tab w:leader="none" w:pos="8298" w:val="center"/>
          <w:tab w:leader="none" w:pos="965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8275" w:val="center"/>
          <w:tab w:leader="none" w:pos="8256" w:val="center"/>
          <w:tab w:leader="none" w:pos="9656"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tabs>
          <w:tab w:leader="none" w:pos="8275" w:val="center"/>
          <w:tab w:leader="none" w:pos="8261" w:val="center"/>
          <w:tab w:leader="none" w:pos="9656" w:val="right"/>
        </w:tabs>
        <w:widowControl w:val="0"/>
        <w:keepNext w:val="0"/>
        <w:keepLines w:val="0"/>
        <w:shd w:val="clear" w:color="auto" w:fill="auto"/>
        <w:bidi w:val="0"/>
        <w:jc w:val="both"/>
        <w:spacing w:before="0" w:after="0" w:line="643" w:lineRule="exact"/>
        <w:ind w:left="0" w:right="0" w:firstLine="0"/>
        <w:sectPr>
          <w:footnotePr>
            <w:pos w:val="pageBottom"/>
            <w:numFmt w:val="decimal"/>
            <w:numRestart w:val="continuous"/>
          </w:footnotePr>
          <w:type w:val="continuous"/>
          <w:pgSz w:w="11906" w:h="16838"/>
          <w:pgMar w:top="1347" w:left="797" w:right="639" w:bottom="838" w:header="0" w:footer="3" w:gutter="0"/>
          <w:rtlGutter w:val="0"/>
          <w:cols w:space="720"/>
          <w:noEndnote/>
          <w:docGrid w:linePitch="360"/>
        </w:sectPr>
      </w:pPr>
      <w:r>
        <w:rPr>
          <w:lang w:val="ru-RU" w:eastAsia="ru-RU" w:bidi="ru-RU"/>
          <w:w w:val="100"/>
          <w:spacing w:val="0"/>
          <w:color w:val="000000"/>
          <w:position w:val="0"/>
        </w:rPr>
        <w:t>Член Комиссии:</w:t>
        <w:tab/>
        <w:t>О.</w:t>
        <w:tab/>
        <w:t>А.</w:t>
        <w:tab/>
        <w:t>Шалимова</w:t>
      </w:r>
    </w:p>
    <w:p>
      <w:pPr>
        <w:pStyle w:val="Style3"/>
        <w:framePr w:w="4840" w:h="2461" w:wrap="around" w:hAnchor="margin" w:x="-11" w:y="1486"/>
        <w:widowControl w:val="0"/>
        <w:keepNext w:val="0"/>
        <w:keepLines w:val="0"/>
        <w:shd w:val="clear" w:color="auto" w:fill="auto"/>
        <w:bidi w:val="0"/>
        <w:spacing w:before="0" w:after="173" w:line="274" w:lineRule="exact"/>
        <w:ind w:left="0" w:right="0" w:firstLine="0"/>
      </w:pPr>
      <w:r>
        <w:rPr>
          <w:lang w:val="ru-RU" w:eastAsia="ru-RU" w:bidi="ru-RU"/>
          <w:w w:val="100"/>
          <w:spacing w:val="0"/>
          <w:color w:val="000000"/>
          <w:position w:val="0"/>
        </w:rPr>
        <w:t>ФЕДЕРАЛЬНАЯ АНТИМОНОПОЛЬНАЯ СЛУЖБА</w:t>
      </w:r>
    </w:p>
    <w:p>
      <w:pPr>
        <w:pStyle w:val="Style3"/>
        <w:framePr w:w="4840" w:h="2461" w:wrap="around" w:hAnchor="margin" w:x="-11" w:y="1486"/>
        <w:widowControl w:val="0"/>
        <w:keepNext w:val="0"/>
        <w:keepLines w:val="0"/>
        <w:shd w:val="clear" w:color="auto" w:fill="auto"/>
        <w:bidi w:val="0"/>
        <w:spacing w:before="0" w:after="0" w:line="283" w:lineRule="exact"/>
        <w:ind w:left="0" w:right="0" w:firstLine="0"/>
      </w:pPr>
      <w:r>
        <w:rPr>
          <w:lang w:val="ru-RU" w:eastAsia="ru-RU" w:bidi="ru-RU"/>
          <w:w w:val="100"/>
          <w:spacing w:val="0"/>
          <w:color w:val="000000"/>
          <w:position w:val="0"/>
        </w:rPr>
        <w:t>УПРАВЛЕ</w:t>
      </w:r>
      <w:r>
        <w:rPr>
          <w:rStyle w:val="CharStyle23"/>
          <w:b/>
          <w:bCs/>
        </w:rPr>
        <w:t>НИ</w:t>
      </w:r>
      <w:r>
        <w:rPr>
          <w:lang w:val="ru-RU" w:eastAsia="ru-RU" w:bidi="ru-RU"/>
          <w:w w:val="100"/>
          <w:spacing w:val="0"/>
          <w:color w:val="000000"/>
          <w:position w:val="0"/>
        </w:rPr>
        <w:t>Е Федеральной антимонопольной службы по Республике Крым и городу Севастополю</w:t>
      </w:r>
    </w:p>
    <w:p>
      <w:pPr>
        <w:pStyle w:val="Style5"/>
        <w:framePr w:w="4840" w:h="2461" w:wrap="around" w:hAnchor="margin" w:x="-11" w:y="148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7"/>
        <w:numPr>
          <w:ilvl w:val="0"/>
          <w:numId w:val="21"/>
        </w:numPr>
        <w:widowControl w:val="0"/>
        <w:keepNext w:val="0"/>
        <w:keepLines w:val="0"/>
        <w:shd w:val="clear" w:color="auto" w:fill="auto"/>
        <w:bidi w:val="0"/>
        <w:jc w:val="left"/>
        <w:spacing w:before="1080" w:after="0"/>
        <w:ind w:left="0" w:right="0" w:firstLine="0"/>
      </w:pPr>
      <w:r>
        <w:rPr>
          <w:lang w:val="ru-RU" w:eastAsia="ru-RU" w:bidi="ru-RU"/>
          <w:w w:val="100"/>
          <w:spacing w:val="0"/>
          <w:color w:val="000000"/>
          <w:position w:val="0"/>
        </w:rPr>
        <w:t xml:space="preserve"> Заказчик:</w:t>
      </w:r>
    </w:p>
    <w:p>
      <w:pPr>
        <w:pStyle w:val="Style7"/>
        <w:widowControl w:val="0"/>
        <w:keepNext w:val="0"/>
        <w:keepLines w:val="0"/>
        <w:shd w:val="clear" w:color="auto" w:fill="auto"/>
        <w:bidi w:val="0"/>
        <w:jc w:val="left"/>
        <w:spacing w:before="0" w:after="0"/>
        <w:ind w:left="0" w:right="320" w:firstLine="0"/>
      </w:pPr>
      <w:r>
        <w:rPr>
          <w:lang w:val="ru-RU" w:eastAsia="ru-RU" w:bidi="ru-RU"/>
          <w:w w:val="100"/>
          <w:spacing w:val="0"/>
          <w:color w:val="000000"/>
          <w:position w:val="0"/>
        </w:rPr>
        <w:t>Государственное бюджетное учреждение здравоохранения Республики Крым «Центр профилактики и борьбы со СПИДом»</w:t>
      </w:r>
    </w:p>
    <w:p>
      <w:pPr>
        <w:pStyle w:val="Style7"/>
        <w:framePr w:w="2843" w:h="1122" w:wrap="around" w:vAnchor="text" w:hAnchor="margin" w:x="-97" w:y="-193"/>
        <w:widowControl w:val="0"/>
        <w:keepNext w:val="0"/>
        <w:keepLines w:val="0"/>
        <w:shd w:val="clear" w:color="auto" w:fill="auto"/>
        <w:bidi w:val="0"/>
        <w:jc w:val="both"/>
        <w:spacing w:before="0" w:after="0" w:line="562" w:lineRule="exact"/>
        <w:ind w:left="20" w:right="200" w:firstLine="0"/>
      </w:pPr>
      <w:r>
        <w:rPr>
          <w:rStyle w:val="CharStyle8"/>
          <w:spacing w:val="0"/>
        </w:rPr>
        <w:t>10.11.2017 №06/12894 На № б/н от 02.11.2017</w:t>
      </w:r>
    </w:p>
    <w:p>
      <w:pPr>
        <w:pStyle w:val="Style7"/>
        <w:widowControl w:val="0"/>
        <w:keepNext w:val="0"/>
        <w:keepLines w:val="0"/>
        <w:shd w:val="clear" w:color="auto" w:fill="auto"/>
        <w:bidi w:val="0"/>
        <w:jc w:val="center"/>
        <w:spacing w:before="0" w:after="0"/>
        <w:ind w:left="0" w:right="160" w:firstLine="0"/>
      </w:pPr>
      <w:r>
        <w:rPr>
          <w:lang w:val="ru-RU" w:eastAsia="ru-RU" w:bidi="ru-RU"/>
          <w:w w:val="100"/>
          <w:spacing w:val="0"/>
          <w:color w:val="000000"/>
          <w:position w:val="0"/>
        </w:rPr>
        <w:t>295006, Республика Крым,</w:t>
      </w:r>
    </w:p>
    <w:p>
      <w:pPr>
        <w:pStyle w:val="Style7"/>
        <w:widowControl w:val="0"/>
        <w:keepNext w:val="0"/>
        <w:keepLines w:val="0"/>
        <w:shd w:val="clear" w:color="auto" w:fill="auto"/>
        <w:bidi w:val="0"/>
        <w:jc w:val="right"/>
        <w:spacing w:before="0" w:after="300"/>
        <w:ind w:left="0" w:right="320" w:firstLine="0"/>
      </w:pPr>
      <w:r>
        <w:rPr>
          <w:lang w:val="ru-RU" w:eastAsia="ru-RU" w:bidi="ru-RU"/>
          <w:w w:val="100"/>
          <w:spacing w:val="0"/>
          <w:color w:val="000000"/>
          <w:position w:val="0"/>
        </w:rPr>
        <w:t>г. Симферополь, ул. А. Невского, д. 27-А</w:t>
      </w:r>
    </w:p>
    <w:p>
      <w:pPr>
        <w:pStyle w:val="Style7"/>
        <w:numPr>
          <w:ilvl w:val="0"/>
          <w:numId w:val="2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Заявитель:</w:t>
      </w:r>
    </w:p>
    <w:p>
      <w:pPr>
        <w:pStyle w:val="Style7"/>
        <w:widowControl w:val="0"/>
        <w:keepNext w:val="0"/>
        <w:keepLines w:val="0"/>
        <w:shd w:val="clear" w:color="auto" w:fill="auto"/>
        <w:bidi w:val="0"/>
        <w:jc w:val="left"/>
        <w:spacing w:before="0" w:after="0"/>
        <w:ind w:left="4980" w:right="320" w:firstLine="0"/>
      </w:pPr>
      <w:r>
        <w:rPr>
          <w:lang w:val="ru-RU" w:eastAsia="ru-RU" w:bidi="ru-RU"/>
          <w:w w:val="100"/>
          <w:spacing w:val="0"/>
          <w:color w:val="000000"/>
          <w:position w:val="0"/>
        </w:rPr>
        <w:t>ООО «Строительно-монтажный поезд - 538»</w:t>
      </w:r>
    </w:p>
    <w:p>
      <w:pPr>
        <w:pStyle w:val="Style7"/>
        <w:widowControl w:val="0"/>
        <w:keepNext w:val="0"/>
        <w:keepLines w:val="0"/>
        <w:shd w:val="clear" w:color="auto" w:fill="auto"/>
        <w:bidi w:val="0"/>
        <w:jc w:val="left"/>
        <w:spacing w:before="0" w:after="300"/>
        <w:ind w:left="4980" w:right="320" w:firstLine="0"/>
      </w:pPr>
      <w:r>
        <w:rPr>
          <w:lang w:val="ru-RU" w:eastAsia="ru-RU" w:bidi="ru-RU"/>
          <w:w w:val="100"/>
          <w:spacing w:val="0"/>
          <w:color w:val="000000"/>
          <w:position w:val="0"/>
        </w:rPr>
        <w:t>352380, Краснодарский край, Кавказский р-н, г. Кропоткин, ул. Пожарная, д. 12/1,</w:t>
      </w:r>
    </w:p>
    <w:p>
      <w:pPr>
        <w:pStyle w:val="Style7"/>
        <w:numPr>
          <w:ilvl w:val="0"/>
          <w:numId w:val="21"/>
        </w:numPr>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 xml:space="preserve"> Оператор электронной площадки:</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ООО «РТС-тендер»</w:t>
      </w:r>
    </w:p>
    <w:p>
      <w:pPr>
        <w:pStyle w:val="Style7"/>
        <w:widowControl w:val="0"/>
        <w:keepNext w:val="0"/>
        <w:keepLines w:val="0"/>
        <w:shd w:val="clear" w:color="auto" w:fill="auto"/>
        <w:bidi w:val="0"/>
        <w:jc w:val="left"/>
        <w:spacing w:before="0" w:after="0"/>
        <w:ind w:left="4980" w:right="0" w:firstLine="0"/>
      </w:pPr>
      <w:r>
        <w:rPr>
          <w:lang w:val="ru-RU" w:eastAsia="ru-RU" w:bidi="ru-RU"/>
          <w:w w:val="100"/>
          <w:spacing w:val="0"/>
          <w:color w:val="000000"/>
          <w:position w:val="0"/>
        </w:rPr>
        <w:t>121151, г. Москва, наб. Тараса Шевченко,</w:t>
      </w:r>
    </w:p>
    <w:p>
      <w:pPr>
        <w:pStyle w:val="Style7"/>
        <w:widowControl w:val="0"/>
        <w:keepNext w:val="0"/>
        <w:keepLines w:val="0"/>
        <w:shd w:val="clear" w:color="auto" w:fill="auto"/>
        <w:bidi w:val="0"/>
        <w:jc w:val="left"/>
        <w:spacing w:before="0" w:after="60"/>
        <w:ind w:left="4980" w:right="0" w:firstLine="0"/>
      </w:pPr>
      <w:r>
        <w:rPr>
          <w:lang w:val="ru-RU" w:eastAsia="ru-RU" w:bidi="ru-RU"/>
          <w:w w:val="100"/>
          <w:spacing w:val="0"/>
          <w:color w:val="000000"/>
          <w:position w:val="0"/>
        </w:rPr>
        <w:t>д. 23А, сектор В, 25 этаж</w:t>
      </w:r>
    </w:p>
    <w:p>
      <w:pPr>
        <w:pStyle w:val="Style10"/>
        <w:widowControl w:val="0"/>
        <w:keepNext w:val="0"/>
        <w:keepLines w:val="0"/>
        <w:shd w:val="clear" w:color="auto" w:fill="auto"/>
        <w:bidi w:val="0"/>
        <w:spacing w:before="0" w:after="180"/>
        <w:ind w:left="20" w:right="0" w:firstLine="0"/>
      </w:pPr>
      <w:r>
        <w:rPr>
          <w:lang w:val="ru-RU" w:eastAsia="ru-RU" w:bidi="ru-RU"/>
          <w:w w:val="100"/>
          <w:spacing w:val="0"/>
          <w:color w:val="000000"/>
          <w:position w:val="0"/>
        </w:rPr>
        <w:t>Предписание по делу №06/4233-17 об устранении нарушений законодательства Российской Федерации о контрактной системе в сфере закупок</w:t>
      </w:r>
    </w:p>
    <w:p>
      <w:pPr>
        <w:pStyle w:val="Style7"/>
        <w:numPr>
          <w:ilvl w:val="0"/>
          <w:numId w:val="23"/>
        </w:numPr>
        <w:tabs>
          <w:tab w:leader="none" w:pos="8054" w:val="left"/>
          <w:tab w:leader="none" w:pos="8071" w:val="left"/>
        </w:tabs>
        <w:widowControl w:val="0"/>
        <w:keepNext w:val="0"/>
        <w:keepLines w:val="0"/>
        <w:shd w:val="clear" w:color="auto" w:fill="auto"/>
        <w:bidi w:val="0"/>
        <w:jc w:val="both"/>
        <w:spacing w:before="0" w:after="0"/>
        <w:ind w:left="300" w:right="0" w:firstLine="0"/>
      </w:pPr>
      <w:r>
        <w:rPr>
          <w:lang w:val="ru-RU" w:eastAsia="ru-RU" w:bidi="ru-RU"/>
          <w:w w:val="100"/>
          <w:spacing w:val="0"/>
          <w:color w:val="000000"/>
          <w:position w:val="0"/>
        </w:rPr>
        <w:t>г. Симферополь</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w:t>
      </w:r>
      <w:r>
        <w:rPr>
          <w:rStyle w:val="CharStyle12"/>
        </w:rPr>
        <w:t>УФАС</w:t>
      </w:r>
      <w:r>
        <w:rPr>
          <w:lang w:val="ru-RU" w:eastAsia="ru-RU" w:bidi="ru-RU"/>
          <w:w w:val="100"/>
          <w:spacing w:val="0"/>
          <w:color w:val="000000"/>
          <w:position w:val="0"/>
        </w:rPr>
        <w:t xml:space="preserve"> России) (далее - Комиссия) в составе:</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 xml:space="preserve">председателя Комиссии - заместителя руководителя Крымского </w:t>
      </w:r>
      <w:r>
        <w:rPr>
          <w:rStyle w:val="CharStyle12"/>
        </w:rPr>
        <w:t xml:space="preserve">УФАС </w:t>
      </w:r>
      <w:r>
        <w:rPr>
          <w:lang w:val="ru-RU" w:eastAsia="ru-RU" w:bidi="ru-RU"/>
          <w:w w:val="100"/>
          <w:spacing w:val="0"/>
          <w:color w:val="000000"/>
          <w:position w:val="0"/>
        </w:rPr>
        <w:t>России М. С. Муравьёва,</w:t>
      </w:r>
    </w:p>
    <w:p>
      <w:pPr>
        <w:pStyle w:val="Style7"/>
        <w:widowControl w:val="0"/>
        <w:keepNext w:val="0"/>
        <w:keepLines w:val="0"/>
        <w:shd w:val="clear" w:color="auto" w:fill="auto"/>
        <w:bidi w:val="0"/>
        <w:jc w:val="left"/>
        <w:spacing w:before="0" w:after="0"/>
        <w:ind w:left="0" w:right="20" w:firstLine="840"/>
      </w:pPr>
      <w:r>
        <w:rPr>
          <w:lang w:val="ru-RU" w:eastAsia="ru-RU" w:bidi="ru-RU"/>
          <w:w w:val="100"/>
          <w:spacing w:val="0"/>
          <w:color w:val="000000"/>
          <w:position w:val="0"/>
        </w:rPr>
        <w:t xml:space="preserve">заместителя председателя Комиссии - начальника отдела контроля закупок Крымского </w:t>
      </w:r>
      <w:r>
        <w:rPr>
          <w:rStyle w:val="CharStyle12"/>
        </w:rPr>
        <w:t>УФАС</w:t>
      </w:r>
      <w:r>
        <w:rPr>
          <w:lang w:val="ru-RU" w:eastAsia="ru-RU" w:bidi="ru-RU"/>
          <w:w w:val="100"/>
          <w:spacing w:val="0"/>
          <w:color w:val="000000"/>
          <w:position w:val="0"/>
        </w:rPr>
        <w:t xml:space="preserve"> России Н. П. Казаковой члена Комиссии:</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главного специалиста - эксперта отдела контроля в сфере естественных монополий и на товарных рынках Крымского УФАС России О. А. Шалимовой, —</w:t>
      </w:r>
    </w:p>
    <w:p>
      <w:pPr>
        <w:pStyle w:val="Style7"/>
        <w:widowControl w:val="0"/>
        <w:keepNext w:val="0"/>
        <w:keepLines w:val="0"/>
        <w:shd w:val="clear" w:color="auto" w:fill="auto"/>
        <w:bidi w:val="0"/>
        <w:jc w:val="both"/>
        <w:spacing w:before="0" w:after="0"/>
        <w:ind w:left="0" w:right="20" w:firstLine="840"/>
      </w:pPr>
      <w:r>
        <w:rPr>
          <w:lang w:val="ru-RU" w:eastAsia="ru-RU" w:bidi="ru-RU"/>
          <w:w w:val="100"/>
          <w:spacing w:val="0"/>
          <w:color w:val="000000"/>
          <w:position w:val="0"/>
        </w:rPr>
        <w:t>на основании решения Комиссии от 10.11.2017 по делу №06/4233-17 по итогам рассмотрения жалобы Заявителя от 02.11.2017 (вх. №4822/09 от 07.11.2017) на действия Заказчика при проведении электронного аукциона «капитальный ремонт</w:t>
        <w:br w:type="page"/>
        <w:t>здания ГБУЗ РК "Центр профилактики и борьбы со СПИДом" по адресу: г. Симферополь, ул. Александра Невского, 27-А» (извещение №0375200049817000032) (далее — Аукцион), в соответствии с частью 22 статьи 99,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w:t>
      </w:r>
      <w:r>
        <w:rPr>
          <w:rStyle w:val="CharStyle13"/>
          <w:lang w:val="ru-RU" w:eastAsia="ru-RU" w:bidi="ru-RU"/>
        </w:rPr>
        <w:t>ици</w:t>
      </w:r>
      <w:r>
        <w:rPr>
          <w:lang w:val="ru-RU" w:eastAsia="ru-RU" w:bidi="ru-RU"/>
          <w:w w:val="100"/>
          <w:spacing w:val="0"/>
          <w:color w:val="000000"/>
          <w:position w:val="0"/>
        </w:rPr>
        <w:t>и Российской Федерации 27.02.2015 за №36262,</w:t>
      </w:r>
    </w:p>
    <w:p>
      <w:pPr>
        <w:pStyle w:val="Style7"/>
        <w:widowControl w:val="0"/>
        <w:keepNext w:val="0"/>
        <w:keepLines w:val="0"/>
        <w:shd w:val="clear" w:color="auto" w:fill="auto"/>
        <w:bidi w:val="0"/>
        <w:jc w:val="center"/>
        <w:spacing w:before="0" w:after="0"/>
        <w:ind w:left="20" w:right="0" w:firstLine="0"/>
      </w:pPr>
      <w:r>
        <w:rPr>
          <w:lang w:val="ru-RU" w:eastAsia="ru-RU" w:bidi="ru-RU"/>
          <w:w w:val="100"/>
          <w:spacing w:val="0"/>
          <w:color w:val="000000"/>
          <w:position w:val="0"/>
        </w:rPr>
        <w:t>ПРЕДПИСЫВАЕТ:</w:t>
      </w:r>
    </w:p>
    <w:p>
      <w:pPr>
        <w:pStyle w:val="Style7"/>
        <w:numPr>
          <w:ilvl w:val="0"/>
          <w:numId w:val="2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Аукционной комиссии Заказчика в течение трех рабочих дней со дня размещения данного решения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lang w:val="en-US" w:eastAsia="en-US" w:bidi="en-US"/>
          <w:w w:val="100"/>
          <w:spacing w:val="0"/>
          <w:position w:val="0"/>
        </w:rPr>
        <w:t xml:space="preserve"> </w:t>
      </w:r>
      <w:r>
        <w:fldChar w:fldCharType="end"/>
      </w:r>
      <w:r>
        <w:rPr>
          <w:lang w:val="ru-RU" w:eastAsia="ru-RU" w:bidi="ru-RU"/>
          <w:w w:val="100"/>
          <w:spacing w:val="0"/>
          <w:color w:val="000000"/>
          <w:position w:val="0"/>
        </w:rPr>
        <w:t>(далее - официальный сайт):</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отменить протоколы, составленные при проведении Аукциона, и разместить информацию об отмене протоколов на официальном сайте;</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 и обеспечения заявок на участие в Аукционе.</w:t>
      </w:r>
    </w:p>
    <w:p>
      <w:pPr>
        <w:pStyle w:val="Style7"/>
        <w:numPr>
          <w:ilvl w:val="0"/>
          <w:numId w:val="25"/>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Заказчику:</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от 10.11.2017 по делу №06/4233-17 и разместить измененную документацию об Аукционе на официальном сайте;</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назначить новую дату окончания срока подачи заявок на участие в Аукционе, новую дату рассмотрения первых частей заявок на участие в Аукционе, новою дату проведения Аукциона, а также разместить на официальном сайте информацию о новой дате окончания срока подачи заявок на участие в Аукционе, новой дате рассмотрения первых частей заявок на участие в Аукционе и новой дате проведения Аукциона. При этом дата окончания срока подачи заявок на участие в Аукционе должна быть назначена не ранее чем через 15 дней со дня размещения на официальном сайте соответствующей документации об Аукционе.</w:t>
      </w:r>
    </w:p>
    <w:p>
      <w:pPr>
        <w:pStyle w:val="Style7"/>
        <w:numPr>
          <w:ilvl w:val="0"/>
          <w:numId w:val="25"/>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2 настоящего предписания:</w:t>
      </w:r>
    </w:p>
    <w:p>
      <w:pPr>
        <w:pStyle w:val="Style7"/>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вернуть участникам закупки ранее поданные заявки на участие в Аукционе;</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7"/>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прекратить блокирование операций по счетам для проведения операций по обеспечению участия в открытых аукционах в электронной форме, открытых</w:t>
        <w:br w:type="page"/>
        <w:t>участникам закупки, подавшим заявки на участие в Аукционе, в отношении денежных средств в размере обеспечения заявки на участие в Аукционе;</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уведомить участников закупки, подавших заявки на участие в Аукционе о прекращении действия заявок, поданных на участие в Аукционе, о новой дате окончания срока подачи заявок на участие в Аукционе, новой дате рассмотрения первых частей заявок на участие в Аукционе, новой дате и времени проведения Аукциона, а также о возможности подать новые заявки на участие в Аукционе.</w:t>
      </w:r>
    </w:p>
    <w:p>
      <w:pPr>
        <w:pStyle w:val="Style7"/>
        <w:numPr>
          <w:ilvl w:val="0"/>
          <w:numId w:val="2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Оператору электронной площадки осуществить дальнейшее проведение процедуры определения поставщика (подрядчика, исполнителя) в соответствии с требованиями законодательства Российской Федерации о контрактной системе в сфере закупок и с учетом решения от 10.11.2017 по делу №06/4233-17.</w:t>
      </w:r>
    </w:p>
    <w:p>
      <w:pPr>
        <w:pStyle w:val="Style7"/>
        <w:numPr>
          <w:ilvl w:val="0"/>
          <w:numId w:val="2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Оператору электронной площадки в срок до 08.12.2017 исполнить настоящее предписание и представить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7"/>
        <w:numPr>
          <w:ilvl w:val="0"/>
          <w:numId w:val="25"/>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07.11.2017 №06/12676.</w:t>
      </w:r>
    </w:p>
    <w:p>
      <w:pPr>
        <w:pStyle w:val="Style7"/>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7"/>
        <w:widowControl w:val="0"/>
        <w:keepNext w:val="0"/>
        <w:keepLines w:val="0"/>
        <w:shd w:val="clear" w:color="auto" w:fill="auto"/>
        <w:bidi w:val="0"/>
        <w:jc w:val="both"/>
        <w:spacing w:before="0" w:after="343"/>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7"/>
        <w:tabs>
          <w:tab w:leader="none" w:pos="8066" w:val="right"/>
          <w:tab w:leader="none" w:pos="8400" w:val="right"/>
          <w:tab w:leader="none" w:pos="9602"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7"/>
        <w:tabs>
          <w:tab w:leader="none" w:pos="9602" w:val="right"/>
          <w:tab w:leader="none" w:pos="8381" w:val="right"/>
          <w:tab w:leader="none" w:pos="9533"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7"/>
        <w:framePr w:h="240" w:wrap="around" w:vAnchor="text" w:hAnchor="margin" w:x="8" w:y="1"/>
        <w:widowControl w:val="0"/>
        <w:keepNext w:val="0"/>
        <w:keepLines w:val="0"/>
        <w:shd w:val="clear" w:color="auto" w:fill="auto"/>
        <w:bidi w:val="0"/>
        <w:jc w:val="left"/>
        <w:spacing w:before="0" w:after="0" w:line="240" w:lineRule="exact"/>
        <w:ind w:left="0" w:right="0" w:firstLine="0"/>
      </w:pPr>
      <w:r>
        <w:rPr>
          <w:rStyle w:val="CharStyle8"/>
          <w:spacing w:val="0"/>
        </w:rPr>
        <w:t>Член Комиссии:</w:t>
      </w:r>
    </w:p>
    <w:p>
      <w:pPr>
        <w:pStyle w:val="Style7"/>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pgSz w:w="11906" w:h="16838"/>
      <w:pgMar w:top="1449" w:left="908" w:right="778" w:bottom="87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2017"/>
      <w:numFmt w:val="decimal"/>
      <w:lvlText w:val="10.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6">
    <w:name w:val="Основной текст (4) Exact"/>
    <w:basedOn w:val="DefaultParagraphFont"/>
    <w:link w:val="Style5"/>
    <w:rPr>
      <w:b w:val="0"/>
      <w:bCs w:val="0"/>
      <w:i w:val="0"/>
      <w:iCs w:val="0"/>
      <w:u w:val="none"/>
      <w:strike w:val="0"/>
      <w:smallCaps w:val="0"/>
      <w:sz w:val="14"/>
      <w:szCs w:val="14"/>
      <w:rFonts w:ascii="Times New Roman" w:eastAsia="Times New Roman" w:hAnsi="Times New Roman" w:cs="Times New Roman"/>
    </w:rPr>
  </w:style>
  <w:style w:type="character" w:customStyle="1" w:styleId="CharStyle8">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9">
    <w:name w:val="Основной текст_"/>
    <w:basedOn w:val="DefaultParagraphFont"/>
    <w:link w:val="Style7"/>
    <w:rPr>
      <w:b w:val="0"/>
      <w:bCs w:val="0"/>
      <w:i w:val="0"/>
      <w:iCs w:val="0"/>
      <w:u w:val="none"/>
      <w:strike w:val="0"/>
      <w:smallCaps w:val="0"/>
      <w:sz w:val="26"/>
      <w:szCs w:val="26"/>
      <w:rFonts w:ascii="Times New Roman" w:eastAsia="Times New Roman" w:hAnsi="Times New Roman" w:cs="Times New Roman"/>
    </w:rPr>
  </w:style>
  <w:style w:type="character" w:customStyle="1" w:styleId="CharStyle11">
    <w:name w:val="Основной текст (2)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w:basedOn w:val="CharStyle9"/>
    <w:rPr>
      <w:lang w:val="ru-RU" w:eastAsia="ru-RU" w:bidi="ru-RU"/>
      <w:w w:val="100"/>
      <w:spacing w:val="0"/>
      <w:color w:val="000000"/>
      <w:position w:val="0"/>
    </w:rPr>
  </w:style>
  <w:style w:type="character" w:customStyle="1" w:styleId="CharStyle13">
    <w:name w:val="Основной текст"/>
    <w:basedOn w:val="CharStyle9"/>
    <w:rPr>
      <w:lang w:val="en-US" w:eastAsia="en-US" w:bidi="en-US"/>
      <w:u w:val="single"/>
      <w:w w:val="100"/>
      <w:spacing w:val="0"/>
      <w:color w:val="000000"/>
      <w:position w:val="0"/>
    </w:rPr>
  </w:style>
  <w:style w:type="character" w:customStyle="1" w:styleId="CharStyle14">
    <w:name w:val="Основной текст"/>
    <w:basedOn w:val="CharStyle9"/>
    <w:rPr>
      <w:lang w:val="ru-RU" w:eastAsia="ru-RU" w:bidi="ru-RU"/>
      <w:w w:val="100"/>
      <w:spacing w:val="0"/>
      <w:color w:val="000000"/>
      <w:position w:val="0"/>
    </w:rPr>
  </w:style>
  <w:style w:type="character" w:customStyle="1" w:styleId="CharStyle16">
    <w:name w:val="Основной текст (5)_"/>
    <w:basedOn w:val="DefaultParagraphFont"/>
    <w:link w:val="Style15"/>
    <w:rPr>
      <w:b w:val="0"/>
      <w:bCs w:val="0"/>
      <w:i w:val="0"/>
      <w:iCs w:val="0"/>
      <w:u w:val="none"/>
      <w:strike w:val="0"/>
      <w:smallCaps w:val="0"/>
      <w:sz w:val="23"/>
      <w:szCs w:val="23"/>
      <w:rFonts w:ascii="Times New Roman" w:eastAsia="Times New Roman" w:hAnsi="Times New Roman" w:cs="Times New Roman"/>
    </w:rPr>
  </w:style>
  <w:style w:type="character" w:customStyle="1" w:styleId="CharStyle17">
    <w:name w:val="Основной текст (5)"/>
    <w:basedOn w:val="CharStyle16"/>
    <w:rPr>
      <w:lang w:val="ru-RU" w:eastAsia="ru-RU" w:bidi="ru-RU"/>
      <w:u w:val="single"/>
      <w:w w:val="100"/>
      <w:spacing w:val="0"/>
      <w:color w:val="000000"/>
      <w:position w:val="0"/>
    </w:rPr>
  </w:style>
  <w:style w:type="character" w:customStyle="1" w:styleId="CharStyle18">
    <w:name w:val="Основной текст + 8,5 pt"/>
    <w:basedOn w:val="CharStyle9"/>
    <w:rPr>
      <w:lang w:val="ru-RU" w:eastAsia="ru-RU" w:bidi="ru-RU"/>
      <w:sz w:val="17"/>
      <w:szCs w:val="17"/>
      <w:w w:val="100"/>
      <w:spacing w:val="0"/>
      <w:color w:val="000000"/>
      <w:position w:val="0"/>
    </w:rPr>
  </w:style>
  <w:style w:type="character" w:customStyle="1" w:styleId="CharStyle20">
    <w:name w:val="Подпись к таблице_"/>
    <w:basedOn w:val="DefaultParagraphFont"/>
    <w:link w:val="Style19"/>
    <w:rPr>
      <w:b w:val="0"/>
      <w:bCs w:val="0"/>
      <w:i w:val="0"/>
      <w:iCs w:val="0"/>
      <w:u w:val="none"/>
      <w:strike w:val="0"/>
      <w:smallCaps w:val="0"/>
      <w:sz w:val="17"/>
      <w:szCs w:val="17"/>
      <w:rFonts w:ascii="Times New Roman" w:eastAsia="Times New Roman" w:hAnsi="Times New Roman" w:cs="Times New Roman"/>
    </w:rPr>
  </w:style>
  <w:style w:type="character" w:customStyle="1" w:styleId="CharStyle21">
    <w:name w:val="Подпись к таблице"/>
    <w:basedOn w:val="CharStyle20"/>
    <w:rPr>
      <w:lang w:val="ru-RU" w:eastAsia="ru-RU" w:bidi="ru-RU"/>
      <w:u w:val="single"/>
      <w:w w:val="100"/>
      <w:spacing w:val="0"/>
      <w:color w:val="000000"/>
      <w:position w:val="0"/>
    </w:rPr>
  </w:style>
  <w:style w:type="character" w:customStyle="1" w:styleId="CharStyle22">
    <w:name w:val="Основной текст + Интервал 1 pt"/>
    <w:basedOn w:val="CharStyle9"/>
    <w:rPr>
      <w:lang w:val="ru-RU" w:eastAsia="ru-RU" w:bidi="ru-RU"/>
      <w:w w:val="100"/>
      <w:spacing w:val="30"/>
      <w:color w:val="000000"/>
      <w:position w:val="0"/>
    </w:rPr>
  </w:style>
  <w:style w:type="character" w:customStyle="1" w:styleId="CharStyle23">
    <w:name w:val="Основной текст (3) Exact"/>
    <w:basedOn w:val="CharStyle4"/>
    <w:rPr>
      <w:lang w:val="ru-RU" w:eastAsia="ru-RU" w:bidi="ru-RU"/>
      <w:u w:val="single"/>
      <w:w w:val="100"/>
      <w:spacing w:val="0"/>
      <w:color w:val="000000"/>
      <w:position w:val="0"/>
    </w:rPr>
  </w:style>
  <w:style w:type="character" w:customStyle="1" w:styleId="CharStyle24">
    <w:name w:val="Основной текст"/>
    <w:basedOn w:val="CharStyle9"/>
    <w:rPr>
      <w:lang w:val="en-US" w:eastAsia="en-US" w:bidi="en-US"/>
      <w:u w:val="single"/>
      <w:w w:val="100"/>
      <w:spacing w:val="0"/>
      <w:color w:val="000000"/>
      <w:position w:val="0"/>
    </w:rPr>
  </w:style>
  <w:style w:type="paragraph" w:customStyle="1" w:styleId="Style3">
    <w:name w:val="Основной текст (3)"/>
    <w:basedOn w:val="Normal"/>
    <w:link w:val="CharStyle4"/>
    <w:pPr>
      <w:widowControl w:val="0"/>
      <w:shd w:val="clear" w:color="auto" w:fill="FFFFFF"/>
      <w:jc w:val="center"/>
      <w:spacing w:after="180" w:line="278" w:lineRule="exact"/>
    </w:pPr>
    <w:rPr>
      <w:b/>
      <w:bCs/>
      <w:i w:val="0"/>
      <w:iCs w:val="0"/>
      <w:u w:val="none"/>
      <w:strike w:val="0"/>
      <w:smallCaps w:val="0"/>
      <w:sz w:val="21"/>
      <w:szCs w:val="21"/>
      <w:rFonts w:ascii="Times New Roman" w:eastAsia="Times New Roman" w:hAnsi="Times New Roman" w:cs="Times New Roman"/>
    </w:rPr>
  </w:style>
  <w:style w:type="paragraph" w:customStyle="1" w:styleId="Style5">
    <w:name w:val="Основной текст (4)"/>
    <w:basedOn w:val="Normal"/>
    <w:link w:val="CharStyle6"/>
    <w:pPr>
      <w:widowControl w:val="0"/>
      <w:shd w:val="clear" w:color="auto" w:fill="FFFFFF"/>
      <w:jc w:val="center"/>
      <w:spacing w:line="182" w:lineRule="exact"/>
    </w:pPr>
    <w:rPr>
      <w:b w:val="0"/>
      <w:bCs w:val="0"/>
      <w:i w:val="0"/>
      <w:iCs w:val="0"/>
      <w:u w:val="none"/>
      <w:strike w:val="0"/>
      <w:smallCaps w:val="0"/>
      <w:sz w:val="14"/>
      <w:szCs w:val="14"/>
      <w:rFonts w:ascii="Times New Roman" w:eastAsia="Times New Roman" w:hAnsi="Times New Roman" w:cs="Times New Roman"/>
    </w:rPr>
  </w:style>
  <w:style w:type="paragraph" w:customStyle="1" w:styleId="Style7">
    <w:name w:val="Основной текст"/>
    <w:basedOn w:val="Normal"/>
    <w:link w:val="CharStyle9"/>
    <w:pPr>
      <w:widowControl w:val="0"/>
      <w:shd w:val="clear" w:color="auto" w:fill="FFFFFF"/>
      <w:spacing w:before="102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0">
    <w:name w:val="Основной текст (2)"/>
    <w:basedOn w:val="Normal"/>
    <w:link w:val="CharStyle11"/>
    <w:pPr>
      <w:widowControl w:val="0"/>
      <w:shd w:val="clear" w:color="auto" w:fill="FFFFFF"/>
      <w:jc w:val="center"/>
      <w:spacing w:before="240" w:after="24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5)"/>
    <w:basedOn w:val="Normal"/>
    <w:link w:val="CharStyle16"/>
    <w:pPr>
      <w:widowControl w:val="0"/>
      <w:shd w:val="clear" w:color="auto" w:fill="FFFFFF"/>
      <w:jc w:val="both"/>
      <w:spacing w:line="0"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9">
    <w:name w:val="Подпись к таблице"/>
    <w:basedOn w:val="Normal"/>
    <w:link w:val="CharStyle20"/>
    <w:pPr>
      <w:widowControl w:val="0"/>
      <w:shd w:val="clear" w:color="auto" w:fill="FFFFFF"/>
      <w:spacing w:line="0" w:lineRule="exact"/>
    </w:pPr>
    <w:rPr>
      <w:b w:val="0"/>
      <w:bCs w:val="0"/>
      <w:i w:val="0"/>
      <w:iCs w:val="0"/>
      <w:u w:val="none"/>
      <w:strike w:val="0"/>
      <w:smallCaps w:val="0"/>
      <w:sz w:val="17"/>
      <w:szCs w:val="17"/>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