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7" w:y="1127"/>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7" w:y="112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7" w:y="112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955" w:after="0"/>
        <w:ind w:left="20" w:right="0" w:firstLine="0"/>
      </w:pPr>
      <w:r>
        <w:rPr>
          <w:lang w:val="ru-RU" w:eastAsia="ru-RU" w:bidi="ru-RU"/>
          <w:w w:val="100"/>
          <w:spacing w:val="0"/>
          <w:color w:val="000000"/>
          <w:position w:val="0"/>
        </w:rPr>
        <w:t xml:space="preserve"> Заказчик:</w:t>
      </w:r>
    </w:p>
    <w:p>
      <w:pPr>
        <w:pStyle w:val="Style7"/>
        <w:framePr w:w="3117" w:h="1122" w:wrap="around" w:vAnchor="text" w:hAnchor="margin" w:x="-11" w:y="987"/>
        <w:widowControl w:val="0"/>
        <w:keepNext w:val="0"/>
        <w:keepLines w:val="0"/>
        <w:shd w:val="clear" w:color="auto" w:fill="auto"/>
        <w:bidi w:val="0"/>
        <w:jc w:val="left"/>
        <w:spacing w:before="0" w:after="0" w:line="562" w:lineRule="exact"/>
        <w:ind w:left="20" w:right="100" w:firstLine="0"/>
      </w:pPr>
      <w:r>
        <w:rPr>
          <w:rStyle w:val="CharStyle8"/>
          <w:spacing w:val="0"/>
        </w:rPr>
        <w:t>10.11.2017 №06/12900 На № 25/24 от 02.11.2017</w:t>
      </w:r>
    </w:p>
    <w:p>
      <w:pPr>
        <w:pStyle w:val="Style7"/>
        <w:widowControl w:val="0"/>
        <w:keepNext w:val="0"/>
        <w:keepLines w:val="0"/>
        <w:shd w:val="clear" w:color="auto" w:fill="auto"/>
        <w:bidi w:val="0"/>
        <w:jc w:val="left"/>
        <w:spacing w:before="0" w:after="0"/>
        <w:ind w:left="20" w:right="480" w:firstLine="0"/>
      </w:pPr>
      <w:r>
        <w:rPr>
          <w:lang w:val="ru-RU" w:eastAsia="ru-RU" w:bidi="ru-RU"/>
          <w:w w:val="100"/>
          <w:spacing w:val="0"/>
          <w:color w:val="000000"/>
          <w:position w:val="0"/>
        </w:rPr>
        <w:t>Государственное казенное учреждение Республики Крым "Служба автомобильных дорог Республики Крым"</w:t>
      </w:r>
    </w:p>
    <w:p>
      <w:pPr>
        <w:pStyle w:val="Style7"/>
        <w:widowControl w:val="0"/>
        <w:keepNext w:val="0"/>
        <w:keepLines w:val="0"/>
        <w:shd w:val="clear" w:color="auto" w:fill="auto"/>
        <w:bidi w:val="0"/>
        <w:jc w:val="left"/>
        <w:spacing w:before="0" w:after="240"/>
        <w:ind w:left="2040" w:right="1840" w:firstLine="0"/>
      </w:pPr>
      <w:r>
        <w:rPr>
          <w:lang w:val="ru-RU" w:eastAsia="ru-RU" w:bidi="ru-RU"/>
          <w:w w:val="100"/>
          <w:spacing w:val="0"/>
          <w:color w:val="000000"/>
          <w:position w:val="0"/>
        </w:rPr>
        <w:t>295022, Республика Крым, г. Симферополь, ул. Кечкеметская, д. 184/1А</w:t>
      </w:r>
    </w:p>
    <w:p>
      <w:pPr>
        <w:pStyle w:val="Style7"/>
        <w:numPr>
          <w:ilvl w:val="0"/>
          <w:numId w:val="1"/>
        </w:numPr>
        <w:widowControl w:val="0"/>
        <w:keepNext w:val="0"/>
        <w:keepLines w:val="0"/>
        <w:shd w:val="clear" w:color="auto" w:fill="auto"/>
        <w:bidi w:val="0"/>
        <w:jc w:val="left"/>
        <w:spacing w:before="0" w:after="0"/>
        <w:ind w:left="50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5080" w:right="1220" w:firstLine="0"/>
      </w:pPr>
      <w:r>
        <w:rPr>
          <w:lang w:val="ru-RU" w:eastAsia="ru-RU" w:bidi="ru-RU"/>
          <w:w w:val="100"/>
          <w:spacing w:val="0"/>
          <w:color w:val="000000"/>
          <w:position w:val="0"/>
        </w:rPr>
        <w:t>Комитет конкурентной политики 295034, Республика Крым,</w:t>
      </w:r>
    </w:p>
    <w:p>
      <w:pPr>
        <w:pStyle w:val="Style7"/>
        <w:widowControl w:val="0"/>
        <w:keepNext w:val="0"/>
        <w:keepLines w:val="0"/>
        <w:shd w:val="clear" w:color="auto" w:fill="auto"/>
        <w:bidi w:val="0"/>
        <w:jc w:val="left"/>
        <w:spacing w:before="0" w:after="289"/>
        <w:ind w:left="5080" w:right="0" w:firstLine="0"/>
      </w:pPr>
      <w:r>
        <w:rPr>
          <w:lang w:val="ru-RU" w:eastAsia="ru-RU" w:bidi="ru-RU"/>
          <w:w w:val="100"/>
          <w:spacing w:val="0"/>
          <w:color w:val="000000"/>
          <w:position w:val="0"/>
        </w:rPr>
        <w:t>г. Симферополь, пр. Кирова, 13</w:t>
      </w:r>
    </w:p>
    <w:p>
      <w:pPr>
        <w:pStyle w:val="Style7"/>
        <w:numPr>
          <w:ilvl w:val="0"/>
          <w:numId w:val="1"/>
        </w:numPr>
        <w:widowControl w:val="0"/>
        <w:keepNext w:val="0"/>
        <w:keepLines w:val="0"/>
        <w:shd w:val="clear" w:color="auto" w:fill="auto"/>
        <w:bidi w:val="0"/>
        <w:jc w:val="left"/>
        <w:spacing w:before="0" w:after="0" w:line="260" w:lineRule="exact"/>
        <w:ind w:left="50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260" w:lineRule="exact"/>
        <w:ind w:left="5080" w:right="0" w:firstLine="0"/>
      </w:pPr>
      <w:r>
        <w:rPr>
          <w:lang w:val="ru-RU" w:eastAsia="ru-RU" w:bidi="ru-RU"/>
          <w:w w:val="100"/>
          <w:spacing w:val="0"/>
          <w:color w:val="000000"/>
          <w:position w:val="0"/>
        </w:rPr>
        <w:t>ООО «РусРемСтрой»</w:t>
      </w:r>
    </w:p>
    <w:p>
      <w:pPr>
        <w:pStyle w:val="Style7"/>
        <w:widowControl w:val="0"/>
        <w:keepNext w:val="0"/>
        <w:keepLines w:val="0"/>
        <w:shd w:val="clear" w:color="auto" w:fill="auto"/>
        <w:bidi w:val="0"/>
        <w:jc w:val="left"/>
        <w:spacing w:before="0" w:after="240"/>
        <w:ind w:left="5080" w:right="480" w:firstLine="0"/>
      </w:pPr>
      <w:r>
        <w:rPr>
          <w:lang w:val="ru-RU" w:eastAsia="ru-RU" w:bidi="ru-RU"/>
          <w:w w:val="100"/>
          <w:spacing w:val="0"/>
          <w:color w:val="000000"/>
          <w:position w:val="0"/>
        </w:rPr>
        <w:t>20108, Республика Татарстан, г. Казань, ул. Магистральная, д. 1 Б</w:t>
      </w:r>
    </w:p>
    <w:p>
      <w:pPr>
        <w:pStyle w:val="Style12"/>
        <w:widowControl w:val="0"/>
        <w:keepNext w:val="0"/>
        <w:keepLines w:val="0"/>
        <w:shd w:val="clear" w:color="auto" w:fill="auto"/>
        <w:bidi w:val="0"/>
        <w:spacing w:before="0" w:after="289"/>
        <w:ind w:left="0" w:right="20" w:firstLine="0"/>
      </w:pPr>
      <w:r>
        <w:rPr>
          <w:lang w:val="ru-RU" w:eastAsia="ru-RU" w:bidi="ru-RU"/>
          <w:w w:val="100"/>
          <w:spacing w:val="0"/>
          <w:color w:val="000000"/>
          <w:position w:val="0"/>
        </w:rPr>
        <w:t>Решение по делу №06/4236-17 о нарушении законодательства Российской Федерации о контрактной системе в сфере закупок</w:t>
      </w:r>
    </w:p>
    <w:p>
      <w:pPr>
        <w:pStyle w:val="Style7"/>
        <w:tabs>
          <w:tab w:leader="none" w:pos="8239" w:val="right"/>
          <w:tab w:leader="none" w:pos="8439"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10.11.2017</w:t>
        <w:tab/>
        <w:t>г.</w:t>
        <w:tab/>
        <w:t>Симферополь</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Заявителя Р. Р. Зарипова (директора ООО «РусРемСтрой»), Э. Б. Батуевой</w:t>
      </w:r>
      <w:r>
        <w:br w:type="page"/>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 доверенности),</w:t>
      </w:r>
    </w:p>
    <w:p>
      <w:pPr>
        <w:pStyle w:val="Style7"/>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представители Заказчика на заседание Комиссии не явились, — рассмотрев жалобу Заявителя от 02.11.2017 № 25/24 (вх. №4799/09 от 07.11.2017) на действия Единой комиссии Закзачика при проведении запроса предложений «Реконструкция автомобильных дорог в с. Оленевка, Республика Крым, Черноморский район» (номер извещения 0175200000417000455) (далее — Запрос предложений),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w:t>
      </w:r>
      <w:r>
        <w:rPr>
          <w:rStyle w:val="CharStyle14"/>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Запроса предложений.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необоснованное решение о признании заявки Заявителя под номером «455/1/2» несоответствующей требованиям документации о Запросе предложений.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№06/12679, направленное Заявителю, Заказчику, Уполномоченному органу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ходе заседания Комиссии представители Заявителя поддержали доводы жалобы в полном объеме.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Представитель Уполномоченного органа не согласился с доводами жалобы и сообщил, что при проведении Запроса предложений Единая комиссия Уполномоченного органа действовала в соответствии с требованиями документации о Запросе предложений и положениями Закона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извещение об осуществлении закупки размещено на официальном сайте - 30.09.2017, изменения - 25.10.2017;</w:t>
      </w:r>
      <w:r>
        <w:br w:type="page"/>
      </w:r>
    </w:p>
    <w:p>
      <w:pPr>
        <w:pStyle w:val="Style7"/>
        <w:numPr>
          <w:ilvl w:val="0"/>
          <w:numId w:val="3"/>
        </w:numPr>
        <w:widowControl w:val="0"/>
        <w:keepNext w:val="0"/>
        <w:keepLines w:val="0"/>
        <w:shd w:val="clear" w:color="auto" w:fill="auto"/>
        <w:bidi w:val="0"/>
        <w:jc w:val="both"/>
        <w:spacing w:before="0" w:after="0"/>
        <w:ind w:left="20" w:right="140" w:firstLine="840"/>
      </w:pPr>
      <w:r>
        <w:rPr>
          <w:lang w:val="ru-RU" w:eastAsia="ru-RU" w:bidi="ru-RU"/>
          <w:w w:val="100"/>
          <w:spacing w:val="0"/>
          <w:color w:val="000000"/>
          <w:position w:val="0"/>
        </w:rPr>
        <w:t xml:space="preserve"> способ определения поставщика (подрядчика, исполнителя) - запрос предложений;</w:t>
      </w:r>
    </w:p>
    <w:p>
      <w:pPr>
        <w:pStyle w:val="Style7"/>
        <w:numPr>
          <w:ilvl w:val="0"/>
          <w:numId w:val="3"/>
        </w:numPr>
        <w:widowControl w:val="0"/>
        <w:keepNext w:val="0"/>
        <w:keepLines w:val="0"/>
        <w:shd w:val="clear" w:color="auto" w:fill="auto"/>
        <w:bidi w:val="0"/>
        <w:jc w:val="both"/>
        <w:spacing w:before="0" w:after="0"/>
        <w:ind w:left="20" w:right="140" w:firstLine="840"/>
      </w:pPr>
      <w:r>
        <w:rPr>
          <w:lang w:val="ru-RU" w:eastAsia="ru-RU" w:bidi="ru-RU"/>
          <w:w w:val="100"/>
          <w:spacing w:val="0"/>
          <w:color w:val="000000"/>
          <w:position w:val="0"/>
        </w:rPr>
        <w:t xml:space="preserve"> дата и время окончания подачи заявок: 31.10.2017 09:15, дата и время вскрытия конвертов, открытия доступа к электронным документам заявок участников: 31.10.2017 09:15, дата и время рассмотрения и оценки заявок участников: 31.10.2017 17:45, дата и время вскрытия конвертов с окончательными предложениями, открытия доступа к электронным документам окончательных документов участников: 01.11.2017 18:00;</w:t>
      </w:r>
    </w:p>
    <w:p>
      <w:pPr>
        <w:pStyle w:val="Style7"/>
        <w:numPr>
          <w:ilvl w:val="0"/>
          <w:numId w:val="3"/>
        </w:numPr>
        <w:widowControl w:val="0"/>
        <w:keepNext w:val="0"/>
        <w:keepLines w:val="0"/>
        <w:shd w:val="clear" w:color="auto" w:fill="auto"/>
        <w:bidi w:val="0"/>
        <w:jc w:val="both"/>
        <w:spacing w:before="0" w:after="0"/>
        <w:ind w:left="20" w:right="140" w:firstLine="840"/>
      </w:pPr>
      <w:r>
        <w:rPr>
          <w:lang w:val="ru-RU" w:eastAsia="ru-RU" w:bidi="ru-RU"/>
          <w:w w:val="100"/>
          <w:spacing w:val="0"/>
          <w:color w:val="000000"/>
          <w:position w:val="0"/>
        </w:rPr>
        <w:t xml:space="preserve"> на участие в Запросе предложений подано 2 заявки, к участию в закупке допущен 1 участник;</w:t>
      </w:r>
    </w:p>
    <w:p>
      <w:pPr>
        <w:pStyle w:val="Style7"/>
        <w:numPr>
          <w:ilvl w:val="0"/>
          <w:numId w:val="3"/>
        </w:numPr>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 xml:space="preserve"> окончательное предложение ООО «АЛЬТ-ЭРА» составило 834 413 308,10</w:t>
      </w:r>
    </w:p>
    <w:p>
      <w:pPr>
        <w:pStyle w:val="Style7"/>
        <w:widowControl w:val="0"/>
        <w:keepNext w:val="0"/>
        <w:keepLines w:val="0"/>
        <w:shd w:val="clear" w:color="auto" w:fill="auto"/>
        <w:bidi w:val="0"/>
        <w:jc w:val="left"/>
        <w:spacing w:before="0" w:after="180"/>
        <w:ind w:left="20" w:right="0" w:firstLine="0"/>
      </w:pPr>
      <w:r>
        <w:rPr>
          <w:lang w:val="ru-RU" w:eastAsia="ru-RU" w:bidi="ru-RU"/>
          <w:w w:val="100"/>
          <w:spacing w:val="0"/>
          <w:color w:val="000000"/>
          <w:position w:val="0"/>
        </w:rPr>
        <w:t>рубля.</w:t>
      </w:r>
    </w:p>
    <w:p>
      <w:pPr>
        <w:pStyle w:val="Style7"/>
        <w:widowControl w:val="0"/>
        <w:keepNext w:val="0"/>
        <w:keepLines w:val="0"/>
        <w:shd w:val="clear" w:color="auto" w:fill="auto"/>
        <w:bidi w:val="0"/>
        <w:jc w:val="both"/>
        <w:spacing w:before="0" w:after="0"/>
        <w:ind w:left="20" w:right="140" w:firstLine="84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приняла необоснованное решение о признании заявки Заявителя не соответствующей требованиям документации о Запросе предложений.</w:t>
      </w:r>
    </w:p>
    <w:p>
      <w:pPr>
        <w:pStyle w:val="Style7"/>
        <w:widowControl w:val="0"/>
        <w:keepNext w:val="0"/>
        <w:keepLines w:val="0"/>
        <w:shd w:val="clear" w:color="auto" w:fill="auto"/>
        <w:bidi w:val="0"/>
        <w:jc w:val="both"/>
        <w:spacing w:before="0" w:after="0"/>
        <w:ind w:left="20" w:right="140" w:firstLine="840"/>
      </w:pPr>
      <w:r>
        <w:rPr>
          <w:lang w:val="ru-RU" w:eastAsia="ru-RU" w:bidi="ru-RU"/>
          <w:w w:val="100"/>
          <w:spacing w:val="0"/>
          <w:color w:val="000000"/>
          <w:position w:val="0"/>
        </w:rPr>
        <w:t>В силу части 10 статьи 83 Закона о контрактной системе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pPr>
        <w:pStyle w:val="Style7"/>
        <w:tabs>
          <w:tab w:leader="underscore" w:pos="10302" w:val="left"/>
        </w:tabs>
        <w:widowControl w:val="0"/>
        <w:keepNext w:val="0"/>
        <w:keepLines w:val="0"/>
        <w:shd w:val="clear" w:color="auto" w:fill="auto"/>
        <w:bidi w:val="0"/>
        <w:jc w:val="left"/>
        <w:spacing w:before="0" w:after="0"/>
        <w:ind w:left="20" w:right="20" w:firstLine="840"/>
      </w:pPr>
      <w:r>
        <w:rPr>
          <w:lang w:val="ru-RU" w:eastAsia="ru-RU" w:bidi="ru-RU"/>
          <w:w w:val="100"/>
          <w:spacing w:val="0"/>
          <w:color w:val="000000"/>
          <w:position w:val="0"/>
        </w:rPr>
        <w:t xml:space="preserve">Согласно протоколу проведения запроса предложений от 31.10.2017 №11112, </w:t>
      </w:r>
      <w:r>
        <w:rPr>
          <w:rStyle w:val="CharStyle14"/>
        </w:rPr>
        <w:t xml:space="preserve">заявка заявителя под номером «455/1/2» отклонена по причине: </w:t>
      </w:r>
      <w:r>
        <w:rPr>
          <w:rStyle w:val="CharStyle15"/>
        </w:rPr>
        <w:t>«...</w:t>
      </w:r>
      <w:r>
        <w:rPr>
          <w:rStyle w:val="CharStyle16"/>
          <w:lang w:val="ru-RU" w:eastAsia="ru-RU" w:bidi="ru-RU"/>
        </w:rPr>
        <w:tab/>
      </w:r>
    </w:p>
    <w:p>
      <w:pPr>
        <w:pStyle w:val="Style9"/>
        <w:framePr w:h="173" w:vSpace="158" w:wrap="around" w:vAnchor="text" w:hAnchor="margin" w:x="6739" w:y="111"/>
        <w:widowControl w:val="0"/>
        <w:keepNext w:val="0"/>
        <w:keepLines w:val="0"/>
        <w:shd w:val="clear" w:color="auto" w:fill="auto"/>
        <w:bidi w:val="0"/>
        <w:jc w:val="left"/>
        <w:spacing w:before="0" w:after="0" w:line="170" w:lineRule="exact"/>
        <w:ind w:left="100" w:right="0" w:firstLine="0"/>
      </w:pPr>
      <w:r>
        <w:rPr>
          <w:rStyle w:val="CharStyle10"/>
          <w:b/>
          <w:bCs/>
          <w:spacing w:val="0"/>
        </w:rPr>
        <w:t>455/1/2</w:t>
      </w:r>
    </w:p>
    <w:p>
      <w:pPr>
        <w:pStyle w:val="Style9"/>
        <w:framePr w:h="178" w:vSpace="149" w:wrap="around" w:vAnchor="text" w:hAnchor="margin" w:x="63" w:y="519"/>
        <w:widowControl w:val="0"/>
        <w:keepNext w:val="0"/>
        <w:keepLines w:val="0"/>
        <w:shd w:val="clear" w:color="auto" w:fill="auto"/>
        <w:bidi w:val="0"/>
        <w:jc w:val="left"/>
        <w:spacing w:before="0" w:after="0" w:line="170" w:lineRule="exact"/>
        <w:ind w:left="0" w:right="0" w:firstLine="0"/>
      </w:pPr>
      <w:r>
        <w:rPr>
          <w:rStyle w:val="CharStyle10"/>
          <w:b/>
          <w:bCs/>
          <w:spacing w:val="0"/>
        </w:rPr>
        <w:t>Наименование участника закупки</w:t>
      </w:r>
    </w:p>
    <w:p>
      <w:pPr>
        <w:pStyle w:val="Style9"/>
        <w:widowControl w:val="0"/>
        <w:keepNext w:val="0"/>
        <w:keepLines w:val="0"/>
        <w:shd w:val="clear" w:color="auto" w:fill="auto"/>
        <w:bidi w:val="0"/>
        <w:jc w:val="left"/>
        <w:spacing w:before="0" w:after="100"/>
        <w:ind w:left="20" w:right="3440" w:firstLine="0"/>
      </w:pPr>
      <w:r>
        <w:rPr>
          <w:lang w:val="ru-RU" w:eastAsia="ru-RU" w:bidi="ru-RU"/>
          <w:w w:val="100"/>
          <w:spacing w:val="0"/>
          <w:color w:val="000000"/>
          <w:position w:val="0"/>
        </w:rPr>
        <w:t>Регистрационный номер конверта с заявкой</w:t>
      </w:r>
    </w:p>
    <w:p>
      <w:pPr>
        <w:pStyle w:val="Style9"/>
        <w:framePr w:h="173" w:vSpace="110" w:wrap="around" w:vAnchor="text" w:hAnchor="margin" w:x="59" w:y="299"/>
        <w:widowControl w:val="0"/>
        <w:keepNext w:val="0"/>
        <w:keepLines w:val="0"/>
        <w:shd w:val="clear" w:color="auto" w:fill="auto"/>
        <w:bidi w:val="0"/>
        <w:jc w:val="left"/>
        <w:spacing w:before="0" w:after="0" w:line="170" w:lineRule="exact"/>
        <w:ind w:left="0" w:right="0" w:firstLine="0"/>
      </w:pPr>
      <w:r>
        <w:rPr>
          <w:rStyle w:val="CharStyle10"/>
          <w:b/>
          <w:bCs/>
          <w:spacing w:val="0"/>
        </w:rPr>
        <w:t>Решение</w:t>
      </w:r>
    </w:p>
    <w:p>
      <w:pPr>
        <w:pStyle w:val="Style9"/>
        <w:widowControl w:val="0"/>
        <w:keepNext w:val="0"/>
        <w:keepLines w:val="0"/>
        <w:shd w:val="clear" w:color="auto" w:fill="auto"/>
        <w:bidi w:val="0"/>
        <w:jc w:val="right"/>
        <w:spacing w:before="0" w:after="134" w:line="180" w:lineRule="exact"/>
        <w:ind w:left="0" w:right="20" w:firstLine="0"/>
      </w:pPr>
      <w:r>
        <w:rPr>
          <w:rStyle w:val="CharStyle18"/>
          <w:b/>
          <w:bCs/>
        </w:rPr>
        <w:t>Общество с ограниченной ответственностью «РусРемСтрой»</w:t>
      </w:r>
    </w:p>
    <w:p>
      <w:pPr>
        <w:pStyle w:val="Style9"/>
        <w:widowControl w:val="0"/>
        <w:keepNext w:val="0"/>
        <w:keepLines w:val="0"/>
        <w:shd w:val="clear" w:color="auto" w:fill="auto"/>
        <w:bidi w:val="0"/>
        <w:jc w:val="right"/>
        <w:spacing w:before="0" w:after="24" w:line="180" w:lineRule="exact"/>
        <w:ind w:left="0" w:right="20" w:firstLine="0"/>
      </w:pPr>
      <w:r>
        <w:rPr>
          <w:rStyle w:val="CharStyle18"/>
          <w:b/>
          <w:bCs/>
        </w:rPr>
        <w:t>Не соответствует</w:t>
      </w:r>
    </w:p>
    <w:p>
      <w:pPr>
        <w:pStyle w:val="Style9"/>
        <w:widowControl w:val="0"/>
        <w:keepNext w:val="0"/>
        <w:keepLines w:val="0"/>
        <w:shd w:val="clear" w:color="auto" w:fill="auto"/>
        <w:bidi w:val="0"/>
        <w:jc w:val="left"/>
        <w:spacing w:before="0" w:after="0" w:line="180" w:lineRule="exact"/>
        <w:ind w:left="20" w:right="0" w:firstLine="0"/>
      </w:pPr>
      <w:r>
        <w:rPr>
          <w:rStyle w:val="CharStyle18"/>
          <w:b/>
          <w:bCs/>
        </w:rPr>
        <w:t>Обоснование принятого решения:</w:t>
      </w:r>
    </w:p>
    <w:p>
      <w:pPr>
        <w:pStyle w:val="Style9"/>
        <w:widowControl w:val="0"/>
        <w:keepNext w:val="0"/>
        <w:keepLines w:val="0"/>
        <w:shd w:val="clear" w:color="auto" w:fill="auto"/>
        <w:bidi w:val="0"/>
        <w:jc w:val="left"/>
        <w:spacing w:before="0" w:after="0" w:line="226" w:lineRule="exact"/>
        <w:ind w:left="20" w:right="20" w:firstLine="560"/>
      </w:pPr>
      <w:r>
        <w:rPr>
          <w:lang w:val="ru-RU" w:eastAsia="ru-RU" w:bidi="ru-RU"/>
          <w:w w:val="100"/>
          <w:spacing w:val="0"/>
          <w:color w:val="000000"/>
          <w:position w:val="0"/>
        </w:rPr>
        <w:t xml:space="preserve">В соответствии с ч. 10 ст. 83 Закона 44-ФЗ, а именно: не соответствие заявки участника закупки требованиям, установленным в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на проведение запроса предложений, а именно:</w:t>
      </w:r>
    </w:p>
    <w:p>
      <w:pPr>
        <w:pStyle w:val="Style9"/>
        <w:widowControl w:val="0"/>
        <w:keepNext w:val="0"/>
        <w:keepLines w:val="0"/>
        <w:shd w:val="clear" w:color="auto" w:fill="auto"/>
        <w:bidi w:val="0"/>
        <w:jc w:val="right"/>
        <w:spacing w:before="0" w:after="0" w:line="226" w:lineRule="exact"/>
        <w:ind w:left="20" w:right="20" w:firstLine="0"/>
      </w:pPr>
      <w:r>
        <w:rPr>
          <w:lang w:val="ru-RU" w:eastAsia="ru-RU" w:bidi="ru-RU"/>
          <w:w w:val="100"/>
          <w:spacing w:val="0"/>
          <w:color w:val="000000"/>
          <w:position w:val="0"/>
        </w:rPr>
        <w:t xml:space="preserve">Согласно п.п.8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заявка на участие в запросе предложений должна содержать конкретные показатели используемого товара, соответствующие значениям, установленным документацией о запросе предложений.</w:t>
      </w:r>
    </w:p>
    <w:p>
      <w:pPr>
        <w:pStyle w:val="Style9"/>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Частью 2 раздела VII документации на проведение запроса предложений предусмотрено, что участник закупки в обязательном порядке указывает единицы измерения значений показателей, требования к которым установлены в приложении № 1 к разделу V документации на проведение запроса предложений. При этом, в случае, если Заказчиком единицы измерения размеров не указаны, считать, что они указаны в миллиметрах.</w:t>
      </w:r>
    </w:p>
    <w:p>
      <w:pPr>
        <w:pStyle w:val="Style9"/>
        <w:widowControl w:val="0"/>
        <w:keepNext w:val="0"/>
        <w:keepLines w:val="0"/>
        <w:shd w:val="clear" w:color="auto" w:fill="auto"/>
        <w:bidi w:val="0"/>
        <w:jc w:val="both"/>
        <w:spacing w:before="0" w:after="176" w:line="226" w:lineRule="exact"/>
        <w:ind w:left="20" w:right="20" w:firstLine="720"/>
      </w:pPr>
      <w:r>
        <w:rPr>
          <w:lang w:val="ru-RU" w:eastAsia="ru-RU" w:bidi="ru-RU"/>
          <w:w w:val="100"/>
          <w:spacing w:val="0"/>
          <w:color w:val="000000"/>
          <w:position w:val="0"/>
        </w:rPr>
        <w:t>В свою очередь по номенклатурной позиции «Световозвращатель» участником запроса предложений предложено значение «Световозвращатель. Соответствие ГОСТ 32866-2014. Световозвращатель белого и красного цветов, двухсторонний. Световозвращатель с консолью для крепления. Размеры световозвращателя соответствуют изображенным на рисунке.</w:t>
      </w:r>
      <w:r>
        <w:br w:type="page"/>
      </w:r>
    </w:p>
    <w:p>
      <w:pPr>
        <w:pStyle w:val="Style9"/>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 (цитата из заявки).</w:t>
      </w:r>
    </w:p>
    <w:p>
      <w:pPr>
        <w:pStyle w:val="Style9"/>
        <w:widowControl w:val="0"/>
        <w:keepNext w:val="0"/>
        <w:keepLines w:val="0"/>
        <w:shd w:val="clear" w:color="auto" w:fill="auto"/>
        <w:bidi w:val="0"/>
        <w:jc w:val="left"/>
        <w:spacing w:before="0" w:after="0"/>
        <w:ind w:left="20" w:right="0" w:firstLine="540"/>
      </w:pPr>
      <w:r>
        <w:rPr>
          <w:lang w:val="ru-RU" w:eastAsia="ru-RU" w:bidi="ru-RU"/>
          <w:w w:val="100"/>
          <w:spacing w:val="0"/>
          <w:color w:val="000000"/>
          <w:position w:val="0"/>
        </w:rPr>
        <w:t>Таким образом, в заявке участника запроса предложений по вышеуказанной номенклатурной позиции отсутствуют единицы измерения размеров световозвращателей, соответствующие установленным требованиям.</w:t>
      </w:r>
    </w:p>
    <w:p>
      <w:pPr>
        <w:pStyle w:val="Style9"/>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Таким образом, Комиссии невозможно определить соответствие предлагаемого участником закупки товара, используемого при выполнении работ, требованиям документации на проведение запроса предложений.</w:t>
      </w:r>
    </w:p>
    <w:p>
      <w:pPr>
        <w:pStyle w:val="Style9"/>
        <w:tabs>
          <w:tab w:leader="underscore" w:pos="10306" w:val="left"/>
        </w:tabs>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 xml:space="preserve">Аналогичного мнения придерживается Крымское УФАС России, что подтверждается решением по делу №06/1944-17 о нарушении законодательства Российской Федерации о контрактной системе в сфере закупок от </w:t>
      </w:r>
      <w:r>
        <w:rPr>
          <w:rStyle w:val="CharStyle18"/>
          <w:b/>
          <w:bCs/>
        </w:rPr>
        <w:t>20.06.2017 №06/6226.</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ind w:left="20" w:right="0" w:firstLine="860"/>
      </w:pPr>
      <w:r>
        <w:rPr>
          <w:rStyle w:val="CharStyle19"/>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140" w:firstLine="540"/>
      </w:pPr>
      <w:r>
        <w:rPr>
          <w:lang w:val="ru-RU" w:eastAsia="ru-RU" w:bidi="ru-RU"/>
          <w:w w:val="100"/>
          <w:spacing w:val="0"/>
          <w:color w:val="000000"/>
          <w:position w:val="0"/>
        </w:rPr>
        <w:t>На заседании Комиссии представитель Уполномоченного органа пояснил, что заявка участника под номером «455/1/2» отклонена по причине того, что участником предложены материалы (товары), используемые при выполнении работ несоответствующие требованиям установленных ГОСТов и документации Запроса предложений, а именно Заявителем не указаны единицы измерения по номенклатурной позиции «Световозвращатель».</w:t>
      </w:r>
    </w:p>
    <w:p>
      <w:pPr>
        <w:pStyle w:val="Style7"/>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Комиссия, изучив документацию о Запросе предложений, заявку Заявителя, положения соответствующих ГОСТов, заслушав пояснения представителей Сторон, приходит к выводу, об обоснованности действий Единой комиссии Уполномоченного органа по признанию заявки под номером «455/1/2» несоответствующей требованиям документации о Запросе предложений.</w:t>
      </w:r>
    </w:p>
    <w:p>
      <w:pPr>
        <w:pStyle w:val="Style7"/>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20" w:right="14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14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5"/>
        </w:numPr>
        <w:widowControl w:val="0"/>
        <w:keepNext w:val="0"/>
        <w:keepLines w:val="0"/>
        <w:shd w:val="clear" w:color="auto" w:fill="auto"/>
        <w:bidi w:val="0"/>
        <w:jc w:val="both"/>
        <w:spacing w:before="0" w:after="64"/>
        <w:ind w:left="20" w:right="14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№06/12679.</w:t>
      </w:r>
    </w:p>
    <w:p>
      <w:pPr>
        <w:pStyle w:val="Style7"/>
        <w:widowControl w:val="0"/>
        <w:keepNext w:val="0"/>
        <w:keepLines w:val="0"/>
        <w:shd w:val="clear" w:color="auto" w:fill="auto"/>
        <w:bidi w:val="0"/>
        <w:jc w:val="both"/>
        <w:spacing w:before="0" w:after="339" w:line="317" w:lineRule="exact"/>
        <w:ind w:left="20" w:right="14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302" w:val="center"/>
          <w:tab w:leader="none" w:pos="964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302" w:val="center"/>
          <w:tab w:leader="none" w:pos="8276" w:val="center"/>
          <w:tab w:leader="none" w:pos="964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50" w:left="855" w:right="697" w:bottom="10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5) Exact"/>
    <w:basedOn w:val="DefaultParagraphFont"/>
    <w:rPr>
      <w:b/>
      <w:bCs/>
      <w:i w:val="0"/>
      <w:iCs w:val="0"/>
      <w:u w:val="none"/>
      <w:strike w:val="0"/>
      <w:smallCaps w:val="0"/>
      <w:sz w:val="17"/>
      <w:szCs w:val="17"/>
      <w:rFonts w:ascii="Times New Roman" w:eastAsia="Times New Roman" w:hAnsi="Times New Roman" w:cs="Times New Roman"/>
      <w:spacing w:val="-3"/>
    </w:rPr>
  </w:style>
  <w:style w:type="character" w:customStyle="1" w:styleId="CharStyle11">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2)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1"/>
    <w:rPr>
      <w:lang w:val="ru-RU" w:eastAsia="ru-RU" w:bidi="ru-RU"/>
      <w:u w:val="single"/>
      <w:w w:val="100"/>
      <w:spacing w:val="0"/>
      <w:color w:val="000000"/>
      <w:position w:val="0"/>
    </w:rPr>
  </w:style>
  <w:style w:type="character" w:customStyle="1" w:styleId="CharStyle15">
    <w:name w:val="Основной текст"/>
    <w:basedOn w:val="CharStyle11"/>
    <w:rPr>
      <w:lang w:val="ru-RU" w:eastAsia="ru-RU" w:bidi="ru-RU"/>
      <w:u w:val="single"/>
      <w:w w:val="100"/>
      <w:spacing w:val="0"/>
      <w:color w:val="000000"/>
      <w:position w:val="0"/>
    </w:rPr>
  </w:style>
  <w:style w:type="character" w:customStyle="1" w:styleId="CharStyle16">
    <w:name w:val="Основной текст"/>
    <w:basedOn w:val="CharStyle11"/>
    <w:rPr>
      <w:lang w:val="1024"/>
      <w:w w:val="100"/>
      <w:spacing w:val="0"/>
      <w:color w:val="000000"/>
      <w:position w:val="0"/>
    </w:rPr>
  </w:style>
  <w:style w:type="character" w:customStyle="1" w:styleId="CharStyle17">
    <w:name w:val="Основной текст (5)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5)"/>
    <w:basedOn w:val="CharStyle17"/>
    <w:rPr>
      <w:lang w:val="ru-RU" w:eastAsia="ru-RU" w:bidi="ru-RU"/>
      <w:u w:val="single"/>
      <w:w w:val="100"/>
      <w:spacing w:val="0"/>
      <w:color w:val="000000"/>
      <w:position w:val="0"/>
    </w:rPr>
  </w:style>
  <w:style w:type="character" w:customStyle="1" w:styleId="CharStyle19">
    <w:name w:val="Основной текст + Интервал 1 pt"/>
    <w:basedOn w:val="CharStyle11"/>
    <w:rPr>
      <w:lang w:val="ru-RU" w:eastAsia="ru-RU" w:bidi="ru-RU"/>
      <w:w w:val="100"/>
      <w:spacing w:val="3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1"/>
    <w:pPr>
      <w:widowControl w:val="0"/>
      <w:shd w:val="clear" w:color="auto" w:fill="FFFFFF"/>
      <w:spacing w:before="102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5)"/>
    <w:basedOn w:val="Normal"/>
    <w:link w:val="CharStyle17"/>
    <w:pPr>
      <w:widowControl w:val="0"/>
      <w:shd w:val="clear" w:color="auto" w:fill="FFFFFF"/>
      <w:spacing w:after="6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