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304" w:after="0"/>
        <w:ind w:left="0" w:right="0" w:firstLine="0"/>
        <w:sectPr>
          <w:footnotePr>
            <w:pos w:val="pageBottom"/>
            <w:numFmt w:val="decimal"/>
            <w:numRestart w:val="continuous"/>
          </w:footnotePr>
          <w:type w:val="continuous"/>
          <w:pgSz w:w="11906" w:h="16838"/>
          <w:pgMar w:top="960" w:left="1168" w:right="6861" w:bottom="902" w:header="0" w:footer="3" w:gutter="0"/>
          <w:rtlGutter w:val="0"/>
          <w:cols w:space="720"/>
          <w:noEndnote/>
          <w:docGrid w:linePitch="360"/>
        </w:sectPr>
      </w:pPr>
      <w:r>
        <w:rPr>
          <w:lang w:val="ru-RU" w:eastAsia="ru-RU" w:bidi="ru-RU"/>
          <w:w w:val="100"/>
          <w:spacing w:val="0"/>
          <w:color w:val="000000"/>
          <w:position w:val="0"/>
        </w:rPr>
        <w:t>ФЕДЕРАЛЬНАЯ АНТИМОНОПОЛЬНАЯ СЛУЖБА</w:t>
      </w:r>
    </w:p>
    <w:p>
      <w:pPr>
        <w:widowControl w:val="0"/>
        <w:spacing w:line="228" w:lineRule="exact"/>
        <w:rPr>
          <w:sz w:val="18"/>
          <w:szCs w:val="18"/>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0" w:line="278" w:lineRule="exact"/>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numPr>
          <w:ilvl w:val="0"/>
          <w:numId w:val="1"/>
        </w:numPr>
        <w:tabs>
          <w:tab w:leader="none" w:pos="1423" w:val="left"/>
        </w:tabs>
        <w:widowControl w:val="0"/>
        <w:keepNext w:val="0"/>
        <w:keepLines w:val="0"/>
        <w:shd w:val="clear" w:color="auto" w:fill="auto"/>
        <w:bidi w:val="0"/>
        <w:jc w:val="left"/>
        <w:spacing w:before="0" w:after="0"/>
        <w:ind w:left="40" w:right="2060" w:firstLine="0"/>
      </w:pPr>
      <w:r>
        <w:rPr>
          <w:lang w:val="ru-RU" w:eastAsia="ru-RU" w:bidi="ru-RU"/>
          <w:w w:val="100"/>
          <w:spacing w:val="0"/>
          <w:color w:val="000000"/>
          <w:position w:val="0"/>
        </w:rPr>
        <w:t>№06/12961 На № б/н от 03.11.2017</w:t>
      </w:r>
    </w:p>
    <w:p>
      <w:pPr>
        <w:pStyle w:val="Style7"/>
        <w:numPr>
          <w:ilvl w:val="0"/>
          <w:numId w:val="3"/>
        </w:numPr>
        <w:tabs>
          <w:tab w:leader="none" w:pos="318" w:val="lef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Заказчик:</w:t>
      </w:r>
    </w:p>
    <w:p>
      <w:pPr>
        <w:pStyle w:val="Style7"/>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Государственное бюджетное учреждение Республики Крым «Специализированная детско-юношеская спортивная школа олимпийского резерва по пулевой стрельбе»</w:t>
      </w:r>
    </w:p>
    <w:p>
      <w:pPr>
        <w:pStyle w:val="Style7"/>
        <w:widowControl w:val="0"/>
        <w:keepNext w:val="0"/>
        <w:keepLines w:val="0"/>
        <w:shd w:val="clear" w:color="auto" w:fill="auto"/>
        <w:bidi w:val="0"/>
        <w:jc w:val="left"/>
        <w:spacing w:before="0" w:after="0" w:line="322" w:lineRule="exact"/>
        <w:ind w:left="20" w:right="560" w:firstLine="0"/>
        <w:sectPr>
          <w:type w:val="continuous"/>
          <w:pgSz w:w="11906" w:h="16838"/>
          <w:pgMar w:top="960" w:left="678" w:right="1254" w:bottom="902" w:header="0" w:footer="3" w:gutter="0"/>
          <w:rtlGutter w:val="0"/>
          <w:cols w:num="2" w:space="163"/>
          <w:noEndnote/>
          <w:docGrid w:linePitch="360"/>
        </w:sectPr>
      </w:pPr>
      <w:r>
        <w:rPr>
          <w:lang w:val="ru-RU" w:eastAsia="ru-RU" w:bidi="ru-RU"/>
          <w:w w:val="100"/>
          <w:spacing w:val="0"/>
          <w:color w:val="000000"/>
          <w:position w:val="0"/>
        </w:rPr>
        <w:t>295048, Республика Крым, г. Симферополь, ул. Трубаченко, 18б</w:t>
      </w:r>
    </w:p>
    <w:p>
      <w:pPr>
        <w:widowControl w:val="0"/>
        <w:spacing w:before="37" w:after="3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numPr>
          <w:ilvl w:val="0"/>
          <w:numId w:val="3"/>
        </w:numPr>
        <w:tabs>
          <w:tab w:leader="none" w:pos="5347" w:val="left"/>
        </w:tabs>
        <w:widowControl w:val="0"/>
        <w:keepNext w:val="0"/>
        <w:keepLines w:val="0"/>
        <w:shd w:val="clear" w:color="auto" w:fill="auto"/>
        <w:bidi w:val="0"/>
        <w:jc w:val="left"/>
        <w:spacing w:before="0" w:after="0" w:line="322" w:lineRule="exact"/>
        <w:ind w:left="4960" w:right="1580" w:firstLine="0"/>
      </w:pPr>
      <w:r>
        <w:rPr>
          <w:lang w:val="ru-RU" w:eastAsia="ru-RU" w:bidi="ru-RU"/>
          <w:w w:val="100"/>
          <w:spacing w:val="0"/>
          <w:color w:val="000000"/>
          <w:position w:val="0"/>
        </w:rPr>
        <w:t>Уполномоченный орган: Комитет конкурентной политики Республики Крым 295022, Республика Крым, г. Симферополь,</w:t>
      </w:r>
    </w:p>
    <w:p>
      <w:pPr>
        <w:pStyle w:val="Style7"/>
        <w:widowControl w:val="0"/>
        <w:keepNext w:val="0"/>
        <w:keepLines w:val="0"/>
        <w:shd w:val="clear" w:color="auto" w:fill="auto"/>
        <w:bidi w:val="0"/>
        <w:jc w:val="left"/>
        <w:spacing w:before="0" w:after="300" w:line="322" w:lineRule="exact"/>
        <w:ind w:left="4960" w:right="0" w:firstLine="0"/>
      </w:pPr>
      <w:r>
        <w:rPr>
          <w:lang w:val="ru-RU" w:eastAsia="ru-RU" w:bidi="ru-RU"/>
          <w:w w:val="100"/>
          <w:spacing w:val="0"/>
          <w:color w:val="000000"/>
          <w:position w:val="0"/>
        </w:rPr>
        <w:t>ул. Кечкеметская, д. 198 (1 этаж)</w:t>
      </w:r>
    </w:p>
    <w:p>
      <w:pPr>
        <w:pStyle w:val="Style7"/>
        <w:numPr>
          <w:ilvl w:val="0"/>
          <w:numId w:val="3"/>
        </w:numPr>
        <w:tabs>
          <w:tab w:leader="none" w:pos="5338" w:val="left"/>
        </w:tabs>
        <w:widowControl w:val="0"/>
        <w:keepNext w:val="0"/>
        <w:keepLines w:val="0"/>
        <w:shd w:val="clear" w:color="auto" w:fill="auto"/>
        <w:bidi w:val="0"/>
        <w:jc w:val="both"/>
        <w:spacing w:before="0" w:after="0" w:line="322" w:lineRule="exact"/>
        <w:ind w:left="4960" w:right="0" w:firstLine="0"/>
      </w:pPr>
      <w:r>
        <w:rPr>
          <w:lang w:val="ru-RU" w:eastAsia="ru-RU" w:bidi="ru-RU"/>
          <w:w w:val="100"/>
          <w:spacing w:val="0"/>
          <w:color w:val="000000"/>
          <w:position w:val="0"/>
        </w:rPr>
        <w:t>Заявитель:</w:t>
      </w:r>
    </w:p>
    <w:p>
      <w:pPr>
        <w:pStyle w:val="Style7"/>
        <w:widowControl w:val="0"/>
        <w:keepNext w:val="0"/>
        <w:keepLines w:val="0"/>
        <w:shd w:val="clear" w:color="auto" w:fill="auto"/>
        <w:bidi w:val="0"/>
        <w:jc w:val="both"/>
        <w:spacing w:before="0" w:after="0" w:line="322" w:lineRule="exact"/>
        <w:ind w:left="4960" w:right="0" w:firstLine="0"/>
      </w:pPr>
      <w:r>
        <w:rPr>
          <w:lang w:val="ru-RU" w:eastAsia="ru-RU" w:bidi="ru-RU"/>
          <w:w w:val="100"/>
          <w:spacing w:val="0"/>
          <w:color w:val="000000"/>
          <w:position w:val="0"/>
        </w:rPr>
        <w:t>ООО «Экспо-строй»</w:t>
      </w:r>
    </w:p>
    <w:p>
      <w:pPr>
        <w:pStyle w:val="Style7"/>
        <w:widowControl w:val="0"/>
        <w:keepNext w:val="0"/>
        <w:keepLines w:val="0"/>
        <w:shd w:val="clear" w:color="auto" w:fill="auto"/>
        <w:bidi w:val="0"/>
        <w:jc w:val="both"/>
        <w:spacing w:before="0" w:after="0" w:line="322" w:lineRule="exact"/>
        <w:ind w:left="4960" w:right="0" w:firstLine="0"/>
      </w:pPr>
      <w:r>
        <w:rPr>
          <w:lang w:val="ru-RU" w:eastAsia="ru-RU" w:bidi="ru-RU"/>
          <w:w w:val="100"/>
          <w:spacing w:val="0"/>
          <w:color w:val="000000"/>
          <w:position w:val="0"/>
        </w:rPr>
        <w:t>350080, г. Краснодар,</w:t>
      </w:r>
    </w:p>
    <w:p>
      <w:pPr>
        <w:pStyle w:val="Style7"/>
        <w:widowControl w:val="0"/>
        <w:keepNext w:val="0"/>
        <w:keepLines w:val="0"/>
        <w:shd w:val="clear" w:color="auto" w:fill="auto"/>
        <w:bidi w:val="0"/>
        <w:jc w:val="both"/>
        <w:spacing w:before="0" w:after="304" w:line="322" w:lineRule="exact"/>
        <w:ind w:left="4960" w:right="0" w:firstLine="0"/>
      </w:pPr>
      <w:r>
        <w:rPr>
          <w:lang w:val="ru-RU" w:eastAsia="ru-RU" w:bidi="ru-RU"/>
          <w:w w:val="100"/>
          <w:spacing w:val="0"/>
          <w:color w:val="000000"/>
          <w:position w:val="0"/>
        </w:rPr>
        <w:t>ул. Заводская, д. 32, офис 406</w:t>
      </w:r>
    </w:p>
    <w:p>
      <w:pPr>
        <w:pStyle w:val="Style7"/>
        <w:numPr>
          <w:ilvl w:val="0"/>
          <w:numId w:val="3"/>
        </w:numPr>
        <w:tabs>
          <w:tab w:leader="none" w:pos="5342" w:val="left"/>
        </w:tabs>
        <w:widowControl w:val="0"/>
        <w:keepNext w:val="0"/>
        <w:keepLines w:val="0"/>
        <w:shd w:val="clear" w:color="auto" w:fill="auto"/>
        <w:bidi w:val="0"/>
        <w:jc w:val="both"/>
        <w:spacing w:before="0" w:after="0" w:line="317" w:lineRule="exact"/>
        <w:ind w:left="4960" w:right="0" w:firstLine="0"/>
      </w:pPr>
      <w:r>
        <w:rPr>
          <w:lang w:val="ru-RU" w:eastAsia="ru-RU" w:bidi="ru-RU"/>
          <w:w w:val="100"/>
          <w:spacing w:val="0"/>
          <w:color w:val="000000"/>
          <w:position w:val="0"/>
        </w:rPr>
        <w:t>Электронная площадка:</w:t>
      </w:r>
    </w:p>
    <w:p>
      <w:pPr>
        <w:pStyle w:val="Style7"/>
        <w:widowControl w:val="0"/>
        <w:keepNext w:val="0"/>
        <w:keepLines w:val="0"/>
        <w:shd w:val="clear" w:color="auto" w:fill="auto"/>
        <w:bidi w:val="0"/>
        <w:jc w:val="both"/>
        <w:spacing w:before="0" w:after="0" w:line="317" w:lineRule="exact"/>
        <w:ind w:left="4960" w:right="0" w:firstLine="0"/>
      </w:pPr>
      <w:r>
        <w:rPr>
          <w:lang w:val="ru-RU" w:eastAsia="ru-RU" w:bidi="ru-RU"/>
          <w:w w:val="100"/>
          <w:spacing w:val="0"/>
          <w:color w:val="000000"/>
          <w:position w:val="0"/>
        </w:rPr>
        <w:t>АО «Электронные торговые системы»</w:t>
      </w:r>
    </w:p>
    <w:p>
      <w:pPr>
        <w:pStyle w:val="Style7"/>
        <w:widowControl w:val="0"/>
        <w:keepNext w:val="0"/>
        <w:keepLines w:val="0"/>
        <w:shd w:val="clear" w:color="auto" w:fill="auto"/>
        <w:bidi w:val="0"/>
        <w:jc w:val="both"/>
        <w:spacing w:before="0" w:after="0" w:line="317" w:lineRule="exact"/>
        <w:ind w:left="4960" w:right="0" w:firstLine="0"/>
      </w:pPr>
      <w:r>
        <w:rPr>
          <w:lang w:val="ru-RU" w:eastAsia="ru-RU" w:bidi="ru-RU"/>
          <w:w w:val="100"/>
          <w:spacing w:val="0"/>
          <w:color w:val="000000"/>
          <w:position w:val="0"/>
        </w:rPr>
        <w:t>123317, г. Москва,</w:t>
      </w:r>
    </w:p>
    <w:p>
      <w:pPr>
        <w:pStyle w:val="Style7"/>
        <w:widowControl w:val="0"/>
        <w:keepNext w:val="0"/>
        <w:keepLines w:val="0"/>
        <w:shd w:val="clear" w:color="auto" w:fill="auto"/>
        <w:bidi w:val="0"/>
        <w:jc w:val="both"/>
        <w:spacing w:before="0" w:after="281" w:line="317" w:lineRule="exact"/>
        <w:ind w:left="4960" w:right="0" w:firstLine="0"/>
      </w:pPr>
      <w:r>
        <w:rPr>
          <w:lang w:val="ru-RU" w:eastAsia="ru-RU" w:bidi="ru-RU"/>
          <w:w w:val="100"/>
          <w:spacing w:val="0"/>
          <w:color w:val="000000"/>
          <w:position w:val="0"/>
        </w:rPr>
        <w:t>ул. Тестовская, д. 10, этаж 25</w:t>
      </w:r>
    </w:p>
    <w:p>
      <w:pPr>
        <w:pStyle w:val="Style11"/>
        <w:widowControl w:val="0"/>
        <w:keepNext w:val="0"/>
        <w:keepLines w:val="0"/>
        <w:shd w:val="clear" w:color="auto" w:fill="auto"/>
        <w:bidi w:val="0"/>
        <w:spacing w:before="0" w:after="245"/>
        <w:ind w:left="260" w:right="0" w:firstLine="0"/>
      </w:pPr>
      <w:r>
        <w:rPr>
          <w:lang w:val="ru-RU" w:eastAsia="ru-RU" w:bidi="ru-RU"/>
          <w:w w:val="100"/>
          <w:spacing w:val="0"/>
          <w:color w:val="000000"/>
          <w:position w:val="0"/>
        </w:rPr>
        <w:t>Решение по делу №06/4238-17 о нарушении законодательства Российской Федерации о контрактной системе в сфере закупок</w:t>
      </w:r>
    </w:p>
    <w:p>
      <w:pPr>
        <w:pStyle w:val="Style7"/>
        <w:numPr>
          <w:ilvl w:val="0"/>
          <w:numId w:val="5"/>
        </w:numPr>
        <w:tabs>
          <w:tab w:leader="none" w:pos="8050" w:val="left"/>
          <w:tab w:leader="none" w:pos="8071" w:val="left"/>
        </w:tabs>
        <w:widowControl w:val="0"/>
        <w:keepNext w:val="0"/>
        <w:keepLines w:val="0"/>
        <w:shd w:val="clear" w:color="auto" w:fill="auto"/>
        <w:bidi w:val="0"/>
        <w:jc w:val="both"/>
        <w:spacing w:before="0" w:after="77" w:line="260" w:lineRule="exact"/>
        <w:ind w:left="30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both"/>
        <w:spacing w:before="0" w:after="0" w:line="317" w:lineRule="exact"/>
        <w:ind w:left="0" w:right="260" w:firstLine="84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line="317" w:lineRule="exact"/>
        <w:ind w:left="0" w:right="0" w:firstLine="840"/>
      </w:pPr>
      <w:r>
        <w:rPr>
          <w:lang w:val="ru-RU" w:eastAsia="ru-RU" w:bidi="ru-RU"/>
          <w:w w:val="100"/>
          <w:spacing w:val="0"/>
          <w:color w:val="000000"/>
          <w:position w:val="0"/>
        </w:rPr>
        <w:t>председателя Комиссии - заместителя руководителя Крымского УФАС</w:t>
      </w:r>
    </w:p>
    <w:p>
      <w:pPr>
        <w:pStyle w:val="Style7"/>
        <w:widowControl w:val="0"/>
        <w:keepNext w:val="0"/>
        <w:keepLines w:val="0"/>
        <w:shd w:val="clear" w:color="auto" w:fill="auto"/>
        <w:bidi w:val="0"/>
        <w:jc w:val="left"/>
        <w:spacing w:before="0" w:after="0" w:line="322" w:lineRule="exact"/>
        <w:ind w:left="0" w:right="0" w:firstLine="0"/>
      </w:pPr>
      <w:r>
        <w:rPr>
          <w:lang w:val="ru-RU" w:eastAsia="ru-RU" w:bidi="ru-RU"/>
          <w:w w:val="100"/>
          <w:spacing w:val="0"/>
          <w:color w:val="000000"/>
          <w:position w:val="0"/>
        </w:rPr>
        <w:t>России М. С. Муравьёва,</w:t>
      </w:r>
    </w:p>
    <w:p>
      <w:pPr>
        <w:pStyle w:val="Style7"/>
        <w:widowControl w:val="0"/>
        <w:keepNext w:val="0"/>
        <w:keepLines w:val="0"/>
        <w:shd w:val="clear" w:color="auto" w:fill="auto"/>
        <w:bidi w:val="0"/>
        <w:jc w:val="left"/>
        <w:spacing w:before="0" w:after="0" w:line="322" w:lineRule="exact"/>
        <w:ind w:left="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 члена Комиссии:</w:t>
      </w:r>
    </w:p>
    <w:p>
      <w:pPr>
        <w:pStyle w:val="Style7"/>
        <w:widowControl w:val="0"/>
        <w:keepNext w:val="0"/>
        <w:keepLines w:val="0"/>
        <w:shd w:val="clear" w:color="auto" w:fill="auto"/>
        <w:bidi w:val="0"/>
        <w:jc w:val="left"/>
        <w:spacing w:before="0" w:after="0" w:line="322" w:lineRule="exact"/>
        <w:ind w:left="0" w:right="20" w:firstLine="860"/>
      </w:pPr>
      <w:r>
        <w:rPr>
          <w:lang w:val="ru-RU" w:eastAsia="ru-RU" w:bidi="ru-RU"/>
          <w:w w:val="100"/>
          <w:spacing w:val="0"/>
          <w:color w:val="000000"/>
          <w:position w:val="0"/>
        </w:rPr>
        <w:t>главного специалиста - эксперта отдела контроля в сфере естественных монополий и на товарных рынках Крымского УФАС России О. А. Шалимовой, — при участии представителей интересов:</w:t>
      </w:r>
    </w:p>
    <w:p>
      <w:pPr>
        <w:pStyle w:val="Style7"/>
        <w:widowControl w:val="0"/>
        <w:keepNext w:val="0"/>
        <w:keepLines w:val="0"/>
        <w:shd w:val="clear" w:color="auto" w:fill="auto"/>
        <w:bidi w:val="0"/>
        <w:jc w:val="left"/>
        <w:spacing w:before="0" w:after="0" w:line="322" w:lineRule="exact"/>
        <w:ind w:left="0" w:right="0" w:firstLine="860"/>
      </w:pPr>
      <w:r>
        <w:rPr>
          <w:lang w:val="ru-RU" w:eastAsia="ru-RU" w:bidi="ru-RU"/>
          <w:w w:val="100"/>
          <w:spacing w:val="0"/>
          <w:color w:val="000000"/>
          <w:position w:val="0"/>
        </w:rPr>
        <w:t>Уполномоченного органа И. В. Хованского (по доверенности),</w:t>
      </w:r>
    </w:p>
    <w:p>
      <w:pPr>
        <w:pStyle w:val="Style7"/>
        <w:widowControl w:val="0"/>
        <w:keepNext w:val="0"/>
        <w:keepLines w:val="0"/>
        <w:shd w:val="clear" w:color="auto" w:fill="auto"/>
        <w:bidi w:val="0"/>
        <w:jc w:val="left"/>
        <w:spacing w:before="0" w:after="0" w:line="322" w:lineRule="exact"/>
        <w:ind w:left="0" w:right="0" w:firstLine="860"/>
      </w:pPr>
      <w:r>
        <w:rPr>
          <w:lang w:val="ru-RU" w:eastAsia="ru-RU" w:bidi="ru-RU"/>
          <w:w w:val="100"/>
          <w:spacing w:val="0"/>
          <w:color w:val="000000"/>
          <w:position w:val="0"/>
        </w:rPr>
        <w:t>Заказчика Р. А. Ковалевского (по доверенности),</w:t>
      </w:r>
    </w:p>
    <w:p>
      <w:pPr>
        <w:pStyle w:val="Style7"/>
        <w:widowControl w:val="0"/>
        <w:keepNext w:val="0"/>
        <w:keepLines w:val="0"/>
        <w:shd w:val="clear" w:color="auto" w:fill="auto"/>
        <w:bidi w:val="0"/>
        <w:jc w:val="left"/>
        <w:spacing w:before="0" w:after="0" w:line="322" w:lineRule="exact"/>
        <w:ind w:left="0" w:right="0" w:firstLine="860"/>
      </w:pPr>
      <w:r>
        <w:rPr>
          <w:lang w:val="ru-RU" w:eastAsia="ru-RU" w:bidi="ru-RU"/>
          <w:w w:val="100"/>
          <w:spacing w:val="0"/>
          <w:color w:val="000000"/>
          <w:position w:val="0"/>
        </w:rPr>
        <w:t>Заявителя К. И. Ольховикова (по доверенности), -</w:t>
      </w:r>
    </w:p>
    <w:p>
      <w:pPr>
        <w:pStyle w:val="Style7"/>
        <w:widowControl w:val="0"/>
        <w:keepNext w:val="0"/>
        <w:keepLines w:val="0"/>
        <w:shd w:val="clear" w:color="auto" w:fill="auto"/>
        <w:bidi w:val="0"/>
        <w:jc w:val="both"/>
        <w:spacing w:before="0" w:after="109" w:line="322" w:lineRule="exact"/>
        <w:ind w:left="0" w:right="20" w:firstLine="860"/>
      </w:pPr>
      <w:r>
        <w:rPr>
          <w:lang w:val="ru-RU" w:eastAsia="ru-RU" w:bidi="ru-RU"/>
          <w:w w:val="100"/>
          <w:spacing w:val="0"/>
          <w:color w:val="000000"/>
          <w:position w:val="0"/>
        </w:rPr>
        <w:t>рассмотрев жалобу Заявителя от 03.11.2017 (вх. №4815/09 от 07.11.2017) на действия Единой комиссии Уполномоченного органа при проведении аукциона в электронной форме «Строительно-монтажные работы по объекту: «Реконструкция объектов Государственного бюджетного учреждения Республики Крым «Специализированная детско-юношеская спортивная школа олимпийского резерва по пулевой стрельбе»» (извещение №0175200000417000430)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 №727/14, зарегистрированным в Министерстве юстиции Российской Федерации 27.02.2015 за №36262 (далее - Административный регламент от 19.11.2014 №727/14),</w:t>
      </w:r>
    </w:p>
    <w:p>
      <w:pPr>
        <w:pStyle w:val="Style7"/>
        <w:widowControl w:val="0"/>
        <w:keepNext w:val="0"/>
        <w:keepLines w:val="0"/>
        <w:shd w:val="clear" w:color="auto" w:fill="auto"/>
        <w:bidi w:val="0"/>
        <w:jc w:val="left"/>
        <w:spacing w:before="0" w:after="188" w:line="260" w:lineRule="exact"/>
        <w:ind w:left="454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left"/>
        <w:spacing w:before="0" w:after="0" w:line="322" w:lineRule="exact"/>
        <w:ind w:left="0" w:right="20" w:firstLine="860"/>
      </w:pPr>
      <w:r>
        <w:rPr>
          <w:lang w:val="ru-RU" w:eastAsia="ru-RU" w:bidi="ru-RU"/>
          <w:w w:val="100"/>
          <w:spacing w:val="0"/>
          <w:color w:val="000000"/>
          <w:position w:val="0"/>
        </w:rPr>
        <w:t>В Крымское УФАС России поступила жалоба Заявителя на действия Единой комиссии Уполномоченного органа при проведении Аукциона.</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По мнению Заявителя, его права и законные интересы нарушены действиями Единой комиссии Уполномоченного органа по необоснованному отклонению заявки Заявителя (порядковый номер «10») и не допуску Заявителя к дальнейшему участию в Аукционе.</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07.11.2017 №06/12681, направленное Заявителю, Заказчику, Уполномоченному органу, Оператору электронной площадки и размещенное на официальном сайте Единой информационной системы в сфере закупок (далее - официальный сайт, единая информационная система, ЕИС).</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На заседании Комиссии представитель Уполномоченного органа не согласился с доводами Заявителя и сообщил, что при проведении Аукциона Заказчик, Единая комиссия Уполномоченного органа действовали в соответствии с</w:t>
      </w:r>
    </w:p>
    <w:p>
      <w:pPr>
        <w:pStyle w:val="Style7"/>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положениями Закона о контрактной системе.</w:t>
      </w:r>
    </w:p>
    <w:p>
      <w:pPr>
        <w:pStyle w:val="Style7"/>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7"/>
        <w:numPr>
          <w:ilvl w:val="0"/>
          <w:numId w:val="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извещение о проведении закупки размещено на официальном сайте — 26.09.2017, изменения - 17.10.2017;</w:t>
      </w:r>
    </w:p>
    <w:p>
      <w:pPr>
        <w:pStyle w:val="Style7"/>
        <w:numPr>
          <w:ilvl w:val="0"/>
          <w:numId w:val="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7"/>
        <w:numPr>
          <w:ilvl w:val="0"/>
          <w:numId w:val="7"/>
        </w:numPr>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xml:space="preserve"> начальная (максимальная) цена контракта - 121 793 530,00 рублей;</w:t>
      </w:r>
    </w:p>
    <w:p>
      <w:pPr>
        <w:pStyle w:val="Style7"/>
        <w:numPr>
          <w:ilvl w:val="0"/>
          <w:numId w:val="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дата и время окончания подачи заявок: 02.11.2017 08:00, дата окончания срока рассмотрения первых частей заявок участников: 03.11.2017, дата проведения Аукциона: 07.11.2017;</w:t>
      </w:r>
    </w:p>
    <w:p>
      <w:pPr>
        <w:pStyle w:val="Style7"/>
        <w:numPr>
          <w:ilvl w:val="0"/>
          <w:numId w:val="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на участие в Аукционе подано 7 заявок, из них по результатам рассмотрения первых частей заявок участников 6 заявок признаны несоответствующими требованиям документации об Аукционе;</w:t>
      </w:r>
    </w:p>
    <w:p>
      <w:pPr>
        <w:pStyle w:val="Style7"/>
        <w:numPr>
          <w:ilvl w:val="0"/>
          <w:numId w:val="7"/>
        </w:numPr>
        <w:widowControl w:val="0"/>
        <w:keepNext w:val="0"/>
        <w:keepLines w:val="0"/>
        <w:shd w:val="clear" w:color="auto" w:fill="auto"/>
        <w:bidi w:val="0"/>
        <w:jc w:val="both"/>
        <w:spacing w:before="0" w:after="180" w:line="322" w:lineRule="exact"/>
        <w:ind w:left="20" w:right="0" w:firstLine="860"/>
      </w:pPr>
      <w:r>
        <w:rPr>
          <w:lang w:val="ru-RU" w:eastAsia="ru-RU" w:bidi="ru-RU"/>
          <w:w w:val="100"/>
          <w:spacing w:val="0"/>
          <w:color w:val="000000"/>
          <w:position w:val="0"/>
        </w:rPr>
        <w:t xml:space="preserve"> Аукцион признан несостоявшимся.</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По мнению Заявителя, Единая комиссия Уполномоченного органа необоснованно отклонила первую часть его заявки (под порядковым номером «10») и не допустила Заявителя к дальнейшему участию в Аукционе.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Порядок рассмотрения первых частей заявок на участие в электронном аукционе определен статьей 67 Закона о контрактной системе. В соответствии с требованиями части 1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 и по результатам рассмотрения первых частей заявок на участие в электронном аукционе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настоящей статьи (часть 3 статьи 67 Закона о контрактной системе).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пунктом 3 части 3 статьи 66 Закона о контрактной системе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указанную в одном из следующих подпунктов информацию:</w:t>
      </w:r>
    </w:p>
    <w:p>
      <w:pPr>
        <w:pStyle w:val="Style7"/>
        <w:tabs>
          <w:tab w:leader="none" w:pos="1297" w:val="lef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а)</w:t>
        <w:tab/>
        <w:t>согласие, предусмотренное пунктом 2 части 3 статьи 66 Закона о контрактной системе,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части 3 статьи 66 Закона о контрактной системе,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tabs>
          <w:tab w:leader="none" w:pos="1321" w:val="lef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б)</w:t>
        <w:tab/>
        <w:t>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Согласно части 4 статьи 67 Закона о контрактной системе участник электронного аукциона не допускается к участию в нем в случае:</w:t>
      </w:r>
    </w:p>
    <w:p>
      <w:pPr>
        <w:pStyle w:val="Style7"/>
        <w:numPr>
          <w:ilvl w:val="0"/>
          <w:numId w:val="9"/>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непредоставления информации, предусмотренной частью 3 статьи 66 Закона о контрактной системе, или предоставления недостоверной информации;</w:t>
      </w:r>
    </w:p>
    <w:p>
      <w:pPr>
        <w:pStyle w:val="Style7"/>
        <w:numPr>
          <w:ilvl w:val="0"/>
          <w:numId w:val="9"/>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несоответствия информации, предусмотренной частью 3 статьи 66 Закона о контрактной системе, требованиям документации о таком аукционе.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Частью 5 статьи 67 Закона о контрактной системе установлено, что аукционная комиссия не имеет права отказать участнику в допуске к участию в электронном аукционе по основаниям, не предусмотренным частью 4 статьи 67 Закона о контрактной системе.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Согласно Протоколу рассмотрения первых частей заявок на участие в электронном аукционе от 03.11.2017 № 0175200000417000430-1-1 (далее - Протокол </w:t>
      </w:r>
      <w:r>
        <w:rPr>
          <w:rStyle w:val="CharStyle13"/>
        </w:rPr>
        <w:t>рассмотрения) заявка под порядковым номером «10» отклонена по причине: «...</w:t>
      </w:r>
    </w:p>
    <w:p>
      <w:pPr>
        <w:pStyle w:val="Style3"/>
        <w:tabs>
          <w:tab w:leader="underscore" w:pos="7316" w:val="center"/>
          <w:tab w:leader="none" w:pos="7840" w:val="left"/>
          <w:tab w:leader="underscore" w:pos="10018" w:val="left"/>
        </w:tabs>
        <w:widowControl w:val="0"/>
        <w:keepNext w:val="0"/>
        <w:keepLines w:val="0"/>
        <w:shd w:val="clear" w:color="auto" w:fill="auto"/>
        <w:bidi w:val="0"/>
        <w:jc w:val="both"/>
        <w:spacing w:before="0" w:after="0" w:line="322" w:lineRule="exact"/>
        <w:ind w:left="20" w:right="0" w:firstLine="0"/>
      </w:pPr>
      <w:r>
        <w:rPr>
          <w:rStyle w:val="CharStyle14"/>
          <w:b/>
          <w:bCs/>
        </w:rPr>
        <w:t>Порядковый номер заявки</w:t>
      </w:r>
      <w:r>
        <w:rPr>
          <w:lang w:val="ru-RU" w:eastAsia="ru-RU" w:bidi="ru-RU"/>
          <w:w w:val="100"/>
          <w:spacing w:val="0"/>
          <w:color w:val="000000"/>
          <w:position w:val="0"/>
        </w:rPr>
        <w:tab/>
      </w:r>
      <w:r>
        <w:rPr>
          <w:rStyle w:val="CharStyle14"/>
          <w:b/>
          <w:bCs/>
        </w:rPr>
        <w:t>Заявка</w:t>
        <w:tab/>
        <w:t>№ 10</w:t>
      </w:r>
      <w:r>
        <w:rPr>
          <w:lang w:val="ru-RU" w:eastAsia="ru-RU" w:bidi="ru-RU"/>
          <w:w w:val="100"/>
          <w:spacing w:val="0"/>
          <w:color w:val="000000"/>
          <w:position w:val="0"/>
        </w:rPr>
        <w:tab/>
      </w:r>
    </w:p>
    <w:p>
      <w:pPr>
        <w:pStyle w:val="Style3"/>
        <w:tabs>
          <w:tab w:leader="none" w:pos="7393" w:val="right"/>
          <w:tab w:leader="none" w:pos="7538" w:val="center"/>
          <w:tab w:leader="none" w:pos="7710" w:val="lef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Статус допуска участника</w:t>
        <w:tab/>
      </w:r>
      <w:r>
        <w:rPr>
          <w:rStyle w:val="CharStyle15"/>
          <w:b w:val="0"/>
          <w:bCs w:val="0"/>
        </w:rPr>
        <w:t>Отказ</w:t>
        <w:tab/>
        <w:t>в</w:t>
        <w:tab/>
        <w:t>допуске</w:t>
      </w:r>
    </w:p>
    <w:p>
      <w:pPr>
        <w:pStyle w:val="Style3"/>
        <w:tabs>
          <w:tab w:leader="underscore" w:pos="10018" w:val="left"/>
        </w:tabs>
        <w:widowControl w:val="0"/>
        <w:keepNext w:val="0"/>
        <w:keepLines w:val="0"/>
        <w:shd w:val="clear" w:color="auto" w:fill="auto"/>
        <w:bidi w:val="0"/>
        <w:jc w:val="both"/>
        <w:spacing w:before="0" w:after="0" w:line="220" w:lineRule="exact"/>
        <w:ind w:left="20" w:right="0" w:firstLine="0"/>
      </w:pPr>
      <w:r>
        <w:rPr>
          <w:rStyle w:val="CharStyle14"/>
          <w:b/>
          <w:bCs/>
        </w:rPr>
        <w:t>Обоснование принятого решения</w:t>
      </w:r>
      <w:r>
        <w:rPr>
          <w:lang w:val="ru-RU" w:eastAsia="ru-RU" w:bidi="ru-RU"/>
          <w:w w:val="100"/>
          <w:spacing w:val="0"/>
          <w:color w:val="000000"/>
          <w:position w:val="0"/>
        </w:rPr>
        <w:tab/>
      </w:r>
    </w:p>
    <w:p>
      <w:pPr>
        <w:pStyle w:val="Style16"/>
        <w:numPr>
          <w:ilvl w:val="0"/>
          <w:numId w:val="11"/>
        </w:numPr>
        <w:tabs>
          <w:tab w:leader="none" w:pos="822" w:val="left"/>
        </w:tabs>
        <w:widowControl w:val="0"/>
        <w:keepNext w:val="0"/>
        <w:keepLines w:val="0"/>
        <w:shd w:val="clear" w:color="auto" w:fill="auto"/>
        <w:bidi w:val="0"/>
        <w:spacing w:before="0" w:after="0"/>
        <w:ind w:left="20" w:right="160" w:firstLine="560"/>
      </w:pPr>
      <w:r>
        <w:rPr>
          <w:lang w:val="ru-RU" w:eastAsia="ru-RU" w:bidi="ru-RU"/>
          <w:w w:val="100"/>
          <w:spacing w:val="0"/>
          <w:color w:val="000000"/>
          <w:position w:val="0"/>
        </w:rPr>
        <w:t>В соответствии с п.1 ч.4 ст. 67 Закона 44-ФЗ, а именно: не предоставление в первой части заявки участника информации, предусмотренной п.п. б) п.3</w:t>
      </w:r>
      <w:r>
        <w:fldChar w:fldCharType="begin"/>
      </w:r>
      <w:r>
        <w:rPr>
          <w:color w:val="000000"/>
        </w:rPr>
        <w:instrText> HYPERLINK "file:///C:/Users/Р°Р»РµСЃСЏ/Downloads/РџСЂРѕС‚РѕРєРѕР»_РїРµСЂРІС‹Рµ_С‡Р°СЃС‚Рё_0175200000417000430%20(1).doc%23Par1316" </w:instrText>
      </w:r>
      <w:r>
        <w:fldChar w:fldCharType="separate"/>
      </w:r>
      <w:r>
        <w:rPr>
          <w:rStyle w:val="Hyperlink"/>
          <w:lang w:val="ru-RU" w:eastAsia="ru-RU" w:bidi="ru-RU"/>
          <w:w w:val="100"/>
          <w:spacing w:val="0"/>
          <w:position w:val="0"/>
        </w:rPr>
        <w:t xml:space="preserve"> </w:t>
      </w:r>
      <w:r>
        <w:rPr>
          <w:rStyle w:val="Hyperlink"/>
        </w:rPr>
        <w:t>ч.3 ст. 66</w:t>
      </w:r>
      <w:r>
        <w:rPr>
          <w:rStyle w:val="Hyperlink"/>
        </w:rPr>
        <w:t xml:space="preserve"> </w:t>
      </w:r>
      <w:r>
        <w:fldChar w:fldCharType="end"/>
      </w:r>
      <w:r>
        <w:rPr>
          <w:lang w:val="ru-RU" w:eastAsia="ru-RU" w:bidi="ru-RU"/>
          <w:w w:val="100"/>
          <w:spacing w:val="0"/>
          <w:color w:val="000000"/>
          <w:position w:val="0"/>
        </w:rPr>
        <w:t xml:space="preserve">Закона №44-ФЗ, ч.1 раздела </w:t>
      </w:r>
      <w:r>
        <w:rPr>
          <w:lang w:val="en-US" w:eastAsia="en-US" w:bidi="en-US"/>
          <w:w w:val="100"/>
          <w:spacing w:val="0"/>
          <w:color w:val="000000"/>
          <w:position w:val="0"/>
        </w:rPr>
        <w:t xml:space="preserve">II.III. </w:t>
      </w:r>
      <w:r>
        <w:rPr>
          <w:lang w:val="ru-RU" w:eastAsia="ru-RU" w:bidi="ru-RU"/>
          <w:w w:val="100"/>
          <w:spacing w:val="0"/>
          <w:color w:val="000000"/>
          <w:position w:val="0"/>
        </w:rPr>
        <w:t>документации об электронном аукционе, а именно:</w:t>
      </w:r>
    </w:p>
    <w:p>
      <w:pPr>
        <w:pStyle w:val="Style16"/>
        <w:widowControl w:val="0"/>
        <w:keepNext w:val="0"/>
        <w:keepLines w:val="0"/>
        <w:shd w:val="clear" w:color="auto" w:fill="auto"/>
        <w:bidi w:val="0"/>
        <w:spacing w:before="0" w:after="0" w:line="220" w:lineRule="exact"/>
        <w:ind w:left="20" w:right="0" w:firstLine="0"/>
      </w:pPr>
      <w:r>
        <w:rPr>
          <w:lang w:val="ru-RU" w:eastAsia="ru-RU" w:bidi="ru-RU"/>
          <w:w w:val="100"/>
          <w:spacing w:val="0"/>
          <w:color w:val="000000"/>
          <w:position w:val="0"/>
        </w:rPr>
        <w:t xml:space="preserve"> </w:t>
      </w:r>
      <w:r>
        <w:rPr>
          <w:rStyle w:val="CharStyle21"/>
        </w:rPr>
        <w:t>Согласно раздела VI документации об электронном аукционе участнику закупки в первой</w:t>
      </w:r>
      <w:r>
        <w:br w:type="page"/>
      </w:r>
    </w:p>
    <w:p>
      <w:pPr>
        <w:pStyle w:val="Style16"/>
        <w:widowControl w:val="0"/>
        <w:keepNext w:val="0"/>
        <w:keepLines w:val="0"/>
        <w:shd w:val="clear" w:color="auto" w:fill="auto"/>
        <w:bidi w:val="0"/>
        <w:spacing w:before="0" w:after="0" w:line="274" w:lineRule="exact"/>
        <w:ind w:left="40" w:right="160" w:firstLine="0"/>
      </w:pPr>
      <w:r>
        <w:rPr>
          <w:lang w:val="ru-RU" w:eastAsia="ru-RU" w:bidi="ru-RU"/>
          <w:w w:val="100"/>
          <w:spacing w:val="0"/>
          <w:color w:val="000000"/>
          <w:position w:val="0"/>
        </w:rPr>
        <w:t xml:space="preserve">части заявки на участие в электронном аукционе необходимо указать конкретные (т.е. не допускающие двусмысленного толкования и сослагательного наклонения) показатели материалов (товаров), предлагаемых к использованию при выполнении работ, требования к которым установлены Заказчиком в приложении №1 к разделу ГУдокументации об электронном аукционе. При этом </w:t>
      </w:r>
      <w:r>
        <w:rPr>
          <w:rStyle w:val="CharStyle21"/>
        </w:rPr>
        <w:t>предложение участника должно позволять идентифицировать каждую</w:t>
      </w:r>
      <w:r>
        <w:rPr>
          <w:lang w:val="ru-RU" w:eastAsia="ru-RU" w:bidi="ru-RU"/>
          <w:w w:val="100"/>
          <w:spacing w:val="0"/>
          <w:color w:val="000000"/>
          <w:position w:val="0"/>
        </w:rPr>
        <w:t xml:space="preserve"> </w:t>
      </w:r>
      <w:r>
        <w:rPr>
          <w:rStyle w:val="CharStyle21"/>
        </w:rPr>
        <w:t>товарную позицию</w:t>
      </w:r>
      <w:r>
        <w:rPr>
          <w:lang w:val="ru-RU" w:eastAsia="ru-RU" w:bidi="ru-RU"/>
          <w:w w:val="100"/>
          <w:spacing w:val="0"/>
          <w:color w:val="000000"/>
          <w:position w:val="0"/>
        </w:rPr>
        <w:t xml:space="preserve"> (вариант исполнения товара) в первой части заявки, в отношении которого подается предложение.</w:t>
      </w:r>
    </w:p>
    <w:p>
      <w:pPr>
        <w:pStyle w:val="Style16"/>
        <w:widowControl w:val="0"/>
        <w:keepNext w:val="0"/>
        <w:keepLines w:val="0"/>
        <w:shd w:val="clear" w:color="auto" w:fill="auto"/>
        <w:bidi w:val="0"/>
        <w:spacing w:before="0" w:after="0" w:line="274" w:lineRule="exact"/>
        <w:ind w:left="40" w:right="160" w:firstLine="540"/>
      </w:pPr>
      <w:r>
        <w:rPr>
          <w:lang w:val="ru-RU" w:eastAsia="ru-RU" w:bidi="ru-RU"/>
          <w:w w:val="100"/>
          <w:spacing w:val="0"/>
          <w:color w:val="000000"/>
          <w:position w:val="0"/>
        </w:rPr>
        <w:t>В свою очередь, участником электронного аукциона по номенклатурной позиции «Камни бортовые БР 100.30.15» предложено значение «</w:t>
      </w:r>
      <w:r>
        <w:rPr>
          <w:rStyle w:val="CharStyle18"/>
        </w:rPr>
        <w:t xml:space="preserve">Использование камней с закруглением </w:t>
      </w:r>
      <w:r>
        <w:rPr>
          <w:rStyle w:val="CharStyle22"/>
        </w:rPr>
        <w:t>лицевых</w:t>
      </w:r>
      <w:r>
        <w:rPr>
          <w:rStyle w:val="CharStyle18"/>
        </w:rPr>
        <w:t xml:space="preserve"> граней не осуществляется</w:t>
      </w:r>
      <w:r>
        <w:rPr>
          <w:lang w:val="ru-RU" w:eastAsia="ru-RU" w:bidi="ru-RU"/>
          <w:w w:val="100"/>
          <w:spacing w:val="0"/>
          <w:color w:val="000000"/>
          <w:position w:val="0"/>
        </w:rPr>
        <w:t xml:space="preserve">» (цитата из заявки), вместо требуемого заказчику «Допускается использование камней с закруглением </w:t>
      </w:r>
      <w:r>
        <w:rPr>
          <w:rStyle w:val="CharStyle18"/>
        </w:rPr>
        <w:t xml:space="preserve">лицевых </w:t>
      </w:r>
      <w:r>
        <w:rPr>
          <w:lang w:val="ru-RU" w:eastAsia="ru-RU" w:bidi="ru-RU"/>
          <w:w w:val="100"/>
          <w:spacing w:val="0"/>
          <w:color w:val="000000"/>
          <w:position w:val="0"/>
        </w:rPr>
        <w:t xml:space="preserve">граней радиусом до 5 мм </w:t>
      </w:r>
      <w:r>
        <w:rPr>
          <w:rStyle w:val="CharStyle18"/>
        </w:rPr>
        <w:t xml:space="preserve">и нелицевых </w:t>
      </w:r>
      <w:r>
        <w:rPr>
          <w:lang w:val="ru-RU" w:eastAsia="ru-RU" w:bidi="ru-RU"/>
          <w:w w:val="100"/>
          <w:spacing w:val="0"/>
          <w:color w:val="000000"/>
          <w:position w:val="0"/>
        </w:rPr>
        <w:t>- до 15 мм».</w:t>
      </w:r>
    </w:p>
    <w:p>
      <w:pPr>
        <w:pStyle w:val="Style16"/>
        <w:widowControl w:val="0"/>
        <w:keepNext w:val="0"/>
        <w:keepLines w:val="0"/>
        <w:shd w:val="clear" w:color="auto" w:fill="auto"/>
        <w:bidi w:val="0"/>
        <w:spacing w:before="0" w:after="0" w:line="274" w:lineRule="exact"/>
        <w:ind w:left="40" w:right="160" w:firstLine="540"/>
      </w:pPr>
      <w:r>
        <w:rPr>
          <w:lang w:val="ru-RU" w:eastAsia="ru-RU" w:bidi="ru-RU"/>
          <w:w w:val="100"/>
          <w:spacing w:val="0"/>
          <w:color w:val="000000"/>
          <w:position w:val="0"/>
        </w:rPr>
        <w:t xml:space="preserve">Таким образом, участником закупки не предоставлена информация по использованию или неиспользованию камней с технологическим уклоном </w:t>
      </w:r>
      <w:r>
        <w:rPr>
          <w:rStyle w:val="CharStyle18"/>
        </w:rPr>
        <w:t xml:space="preserve">нелицевых </w:t>
      </w:r>
      <w:r>
        <w:rPr>
          <w:lang w:val="ru-RU" w:eastAsia="ru-RU" w:bidi="ru-RU"/>
          <w:w w:val="100"/>
          <w:spacing w:val="0"/>
          <w:color w:val="000000"/>
          <w:position w:val="0"/>
        </w:rPr>
        <w:t>вертикальных граней.</w:t>
      </w:r>
    </w:p>
    <w:p>
      <w:pPr>
        <w:pStyle w:val="Style16"/>
        <w:widowControl w:val="0"/>
        <w:keepNext w:val="0"/>
        <w:keepLines w:val="0"/>
        <w:shd w:val="clear" w:color="auto" w:fill="auto"/>
        <w:bidi w:val="0"/>
        <w:spacing w:before="0" w:after="0" w:line="274" w:lineRule="exact"/>
        <w:ind w:left="40" w:right="160" w:firstLine="540"/>
      </w:pPr>
      <w:r>
        <w:rPr>
          <w:lang w:val="ru-RU" w:eastAsia="ru-RU" w:bidi="ru-RU"/>
          <w:w w:val="100"/>
          <w:spacing w:val="0"/>
          <w:color w:val="000000"/>
          <w:position w:val="0"/>
        </w:rPr>
        <w:t>Исходя из вышеизложенного, Единой комиссии невозможно установить соответствие предлагаемого товара требованиям заказчика.</w:t>
      </w:r>
    </w:p>
    <w:p>
      <w:pPr>
        <w:pStyle w:val="Style16"/>
        <w:numPr>
          <w:ilvl w:val="0"/>
          <w:numId w:val="11"/>
        </w:numPr>
        <w:tabs>
          <w:tab w:leader="none" w:pos="936" w:val="left"/>
        </w:tabs>
        <w:widowControl w:val="0"/>
        <w:keepNext w:val="0"/>
        <w:keepLines w:val="0"/>
        <w:shd w:val="clear" w:color="auto" w:fill="auto"/>
        <w:bidi w:val="0"/>
        <w:spacing w:before="0" w:after="0" w:line="298" w:lineRule="exact"/>
        <w:ind w:left="40" w:right="160" w:firstLine="540"/>
      </w:pPr>
      <w:r>
        <w:rPr>
          <w:lang w:val="ru-RU" w:eastAsia="ru-RU" w:bidi="ru-RU"/>
          <w:w w:val="100"/>
          <w:spacing w:val="0"/>
          <w:color w:val="000000"/>
          <w:position w:val="0"/>
        </w:rPr>
        <w:t>В соответствии с п.2 ч.4 ст.67 Закона 44-ФЗ, а именно: несоответствие в первой части заявки участника информации, предусмотренной п.п. б) п.3</w:t>
      </w:r>
      <w:r>
        <w:fldChar w:fldCharType="begin"/>
      </w:r>
      <w:r>
        <w:rPr>
          <w:color w:val="000000"/>
        </w:rPr>
        <w:instrText> HYPERLINK "file:///C:/Users/Р°Р»РµСЃСЏ/Downloads/РџСЂРѕС‚РѕРєРѕР»_РїРµСЂРІС‹Рµ_С‡Р°СЃС‚Рё_0175200000417000430%20(1).doc%23Par1316" </w:instrText>
      </w:r>
      <w:r>
        <w:fldChar w:fldCharType="separate"/>
      </w:r>
      <w:r>
        <w:rPr>
          <w:rStyle w:val="Hyperlink"/>
          <w:lang w:val="ru-RU" w:eastAsia="ru-RU" w:bidi="ru-RU"/>
          <w:w w:val="100"/>
          <w:spacing w:val="0"/>
          <w:position w:val="0"/>
        </w:rPr>
        <w:t xml:space="preserve"> </w:t>
      </w:r>
      <w:r>
        <w:rPr>
          <w:rStyle w:val="Hyperlink"/>
        </w:rPr>
        <w:t>ч.3 ст. 66</w:t>
      </w:r>
      <w:r>
        <w:rPr>
          <w:rStyle w:val="Hyperlink"/>
        </w:rPr>
        <w:t xml:space="preserve"> </w:t>
      </w:r>
      <w:r>
        <w:fldChar w:fldCharType="end"/>
      </w:r>
      <w:r>
        <w:rPr>
          <w:lang w:val="ru-RU" w:eastAsia="ru-RU" w:bidi="ru-RU"/>
          <w:w w:val="100"/>
          <w:spacing w:val="0"/>
          <w:color w:val="000000"/>
          <w:position w:val="0"/>
        </w:rPr>
        <w:t xml:space="preserve">Закона №44-ФЗ, п.1.1 ч.1 раздела </w:t>
      </w:r>
      <w:r>
        <w:rPr>
          <w:lang w:val="en-US" w:eastAsia="en-US" w:bidi="en-US"/>
          <w:w w:val="100"/>
          <w:spacing w:val="0"/>
          <w:color w:val="000000"/>
          <w:position w:val="0"/>
        </w:rPr>
        <w:t xml:space="preserve">II.III. </w:t>
      </w:r>
      <w:r>
        <w:rPr>
          <w:lang w:val="ru-RU" w:eastAsia="ru-RU" w:bidi="ru-RU"/>
          <w:w w:val="100"/>
          <w:spacing w:val="0"/>
          <w:color w:val="000000"/>
          <w:position w:val="0"/>
        </w:rPr>
        <w:t>документации об электронном аукционе, а именно:</w:t>
      </w:r>
    </w:p>
    <w:p>
      <w:pPr>
        <w:pStyle w:val="Style16"/>
        <w:widowControl w:val="0"/>
        <w:keepNext w:val="0"/>
        <w:keepLines w:val="0"/>
        <w:shd w:val="clear" w:color="auto" w:fill="auto"/>
        <w:bidi w:val="0"/>
        <w:spacing w:before="0" w:after="0" w:line="274" w:lineRule="exact"/>
        <w:ind w:left="40" w:right="160" w:firstLine="540"/>
      </w:pPr>
      <w:r>
        <w:rPr>
          <w:lang w:val="ru-RU" w:eastAsia="ru-RU" w:bidi="ru-RU"/>
          <w:w w:val="100"/>
          <w:spacing w:val="0"/>
          <w:color w:val="000000"/>
          <w:position w:val="0"/>
        </w:rPr>
        <w:t xml:space="preserve">Согласно приложению №1 к разделу </w:t>
      </w:r>
      <w:r>
        <w:rPr>
          <w:lang w:val="en-US" w:eastAsia="en-US" w:bidi="en-US"/>
          <w:w w:val="100"/>
          <w:spacing w:val="0"/>
          <w:color w:val="000000"/>
          <w:position w:val="0"/>
        </w:rPr>
        <w:t xml:space="preserve">IV </w:t>
      </w:r>
      <w:r>
        <w:rPr>
          <w:lang w:val="ru-RU" w:eastAsia="ru-RU" w:bidi="ru-RU"/>
          <w:w w:val="100"/>
          <w:spacing w:val="0"/>
          <w:color w:val="000000"/>
          <w:position w:val="0"/>
        </w:rPr>
        <w:t>документации об аукционе в электронной форме по номенклатурной позиции «Унитаз компакт с бачком» установлены следующие значения:</w:t>
      </w:r>
    </w:p>
    <w:p>
      <w:pPr>
        <w:pStyle w:val="Style16"/>
        <w:numPr>
          <w:ilvl w:val="0"/>
          <w:numId w:val="7"/>
        </w:numPr>
        <w:widowControl w:val="0"/>
        <w:keepNext w:val="0"/>
        <w:keepLines w:val="0"/>
        <w:shd w:val="clear" w:color="auto" w:fill="auto"/>
        <w:bidi w:val="0"/>
        <w:spacing w:before="0" w:after="0" w:line="274" w:lineRule="exact"/>
        <w:ind w:left="40" w:right="0" w:firstLine="540"/>
      </w:pPr>
      <w:r>
        <w:rPr>
          <w:lang w:val="ru-RU" w:eastAsia="ru-RU" w:bidi="ru-RU"/>
          <w:w w:val="100"/>
          <w:spacing w:val="0"/>
          <w:color w:val="000000"/>
          <w:position w:val="0"/>
        </w:rPr>
        <w:t xml:space="preserve"> «Требуется соответствие ГОСТ 30493-96»;</w:t>
      </w:r>
    </w:p>
    <w:p>
      <w:pPr>
        <w:pStyle w:val="Style16"/>
        <w:numPr>
          <w:ilvl w:val="0"/>
          <w:numId w:val="7"/>
        </w:numPr>
        <w:widowControl w:val="0"/>
        <w:keepNext w:val="0"/>
        <w:keepLines w:val="0"/>
        <w:shd w:val="clear" w:color="auto" w:fill="auto"/>
        <w:bidi w:val="0"/>
        <w:spacing w:before="0" w:after="0" w:line="274" w:lineRule="exact"/>
        <w:ind w:left="40" w:right="160" w:firstLine="540"/>
      </w:pPr>
      <w:r>
        <w:rPr>
          <w:lang w:val="ru-RU" w:eastAsia="ru-RU" w:bidi="ru-RU"/>
          <w:w w:val="100"/>
          <w:spacing w:val="0"/>
          <w:color w:val="000000"/>
          <w:position w:val="0"/>
        </w:rPr>
        <w:t xml:space="preserve"> «Унитаз должен быть с цельноотлитой полочкой с прямым или косым выпуском или без цельноотлитой полочки с косым выпуском»;</w:t>
      </w:r>
    </w:p>
    <w:p>
      <w:pPr>
        <w:pStyle w:val="Style16"/>
        <w:numPr>
          <w:ilvl w:val="0"/>
          <w:numId w:val="7"/>
        </w:numPr>
        <w:widowControl w:val="0"/>
        <w:keepNext w:val="0"/>
        <w:keepLines w:val="0"/>
        <w:shd w:val="clear" w:color="auto" w:fill="auto"/>
        <w:bidi w:val="0"/>
        <w:spacing w:before="0" w:after="0" w:line="274" w:lineRule="exact"/>
        <w:ind w:left="40" w:right="0" w:firstLine="540"/>
      </w:pPr>
      <w:r>
        <w:rPr>
          <w:lang w:val="ru-RU" w:eastAsia="ru-RU" w:bidi="ru-RU"/>
          <w:w w:val="100"/>
          <w:spacing w:val="0"/>
          <w:color w:val="000000"/>
          <w:position w:val="0"/>
        </w:rPr>
        <w:t xml:space="preserve"> «Размеры унитаза в мм: </w:t>
      </w:r>
      <w:r>
        <w:rPr>
          <w:lang w:val="en-US" w:eastAsia="en-US" w:bidi="en-US"/>
          <w:w w:val="100"/>
          <w:spacing w:val="0"/>
          <w:color w:val="000000"/>
          <w:position w:val="0"/>
        </w:rPr>
        <w:t xml:space="preserve">h </w:t>
      </w:r>
      <w:r>
        <w:rPr>
          <w:lang w:val="ru-RU" w:eastAsia="ru-RU" w:bidi="ru-RU"/>
          <w:w w:val="100"/>
          <w:spacing w:val="0"/>
          <w:color w:val="000000"/>
          <w:position w:val="0"/>
        </w:rPr>
        <w:t>320/350».</w:t>
      </w:r>
    </w:p>
    <w:p>
      <w:pPr>
        <w:pStyle w:val="Style16"/>
        <w:widowControl w:val="0"/>
        <w:keepNext w:val="0"/>
        <w:keepLines w:val="0"/>
        <w:shd w:val="clear" w:color="auto" w:fill="auto"/>
        <w:bidi w:val="0"/>
        <w:spacing w:before="0" w:after="0" w:line="274" w:lineRule="exact"/>
        <w:ind w:left="40" w:right="160" w:firstLine="540"/>
      </w:pPr>
      <w:r>
        <w:rPr>
          <w:lang w:val="ru-RU" w:eastAsia="ru-RU" w:bidi="ru-RU"/>
          <w:w w:val="100"/>
          <w:spacing w:val="0"/>
          <w:color w:val="000000"/>
          <w:position w:val="0"/>
        </w:rPr>
        <w:t>В свою очередь, по данной номенклатурной позиции участником электронного аукциона подтверждено соответствие ГОСТ 30493-96, а также указана следующая информация:</w:t>
      </w:r>
    </w:p>
    <w:p>
      <w:pPr>
        <w:pStyle w:val="Style16"/>
        <w:numPr>
          <w:ilvl w:val="0"/>
          <w:numId w:val="7"/>
        </w:numPr>
        <w:widowControl w:val="0"/>
        <w:keepNext w:val="0"/>
        <w:keepLines w:val="0"/>
        <w:shd w:val="clear" w:color="auto" w:fill="auto"/>
        <w:bidi w:val="0"/>
        <w:spacing w:before="0" w:after="0" w:line="274" w:lineRule="exact"/>
        <w:ind w:left="40" w:right="0" w:firstLine="540"/>
      </w:pPr>
      <w:r>
        <w:rPr>
          <w:lang w:val="ru-RU" w:eastAsia="ru-RU" w:bidi="ru-RU"/>
          <w:w w:val="100"/>
          <w:spacing w:val="0"/>
          <w:color w:val="000000"/>
          <w:position w:val="0"/>
        </w:rPr>
        <w:t xml:space="preserve"> «Унитаз </w:t>
      </w:r>
      <w:r>
        <w:rPr>
          <w:rStyle w:val="CharStyle21"/>
        </w:rPr>
        <w:t>с цельноотлитой полочкой</w:t>
      </w:r>
      <w:r>
        <w:rPr>
          <w:lang w:val="ru-RU" w:eastAsia="ru-RU" w:bidi="ru-RU"/>
          <w:w w:val="100"/>
          <w:spacing w:val="0"/>
          <w:color w:val="000000"/>
          <w:position w:val="0"/>
        </w:rPr>
        <w:t xml:space="preserve"> с косым выпуском»;</w:t>
      </w:r>
    </w:p>
    <w:p>
      <w:pPr>
        <w:pStyle w:val="Style16"/>
        <w:numPr>
          <w:ilvl w:val="0"/>
          <w:numId w:val="7"/>
        </w:numPr>
        <w:widowControl w:val="0"/>
        <w:keepNext w:val="0"/>
        <w:keepLines w:val="0"/>
        <w:shd w:val="clear" w:color="auto" w:fill="auto"/>
        <w:bidi w:val="0"/>
        <w:spacing w:before="0" w:after="0" w:line="274" w:lineRule="exact"/>
        <w:ind w:left="40" w:right="0" w:firstLine="540"/>
      </w:pPr>
      <w:r>
        <w:rPr>
          <w:lang w:val="ru-RU" w:eastAsia="ru-RU" w:bidi="ru-RU"/>
          <w:w w:val="100"/>
          <w:spacing w:val="0"/>
          <w:color w:val="000000"/>
          <w:position w:val="0"/>
        </w:rPr>
        <w:t xml:space="preserve"> «Размеры унитаза в мм: </w:t>
      </w:r>
      <w:r>
        <w:rPr>
          <w:lang w:val="en-US" w:eastAsia="en-US" w:bidi="en-US"/>
          <w:w w:val="100"/>
          <w:spacing w:val="0"/>
          <w:color w:val="000000"/>
          <w:position w:val="0"/>
        </w:rPr>
        <w:t xml:space="preserve">h </w:t>
      </w:r>
      <w:r>
        <w:rPr>
          <w:lang w:val="ru-RU" w:eastAsia="ru-RU" w:bidi="ru-RU"/>
          <w:w w:val="100"/>
          <w:spacing w:val="0"/>
          <w:color w:val="000000"/>
          <w:position w:val="0"/>
        </w:rPr>
        <w:t>350» (цитата из заявки).</w:t>
      </w:r>
    </w:p>
    <w:p>
      <w:pPr>
        <w:pStyle w:val="Style16"/>
        <w:widowControl w:val="0"/>
        <w:keepNext w:val="0"/>
        <w:keepLines w:val="0"/>
        <w:shd w:val="clear" w:color="auto" w:fill="auto"/>
        <w:bidi w:val="0"/>
        <w:spacing w:before="0" w:after="0" w:line="274" w:lineRule="exact"/>
        <w:ind w:left="40" w:right="160" w:firstLine="540"/>
      </w:pPr>
      <w:r>
        <w:rPr>
          <w:lang w:val="ru-RU" w:eastAsia="ru-RU" w:bidi="ru-RU"/>
          <w:w w:val="100"/>
          <w:spacing w:val="0"/>
          <w:color w:val="000000"/>
          <w:position w:val="0"/>
        </w:rPr>
        <w:t xml:space="preserve">В соответствии с таблицей 3 ГОСТ 30493-96 «Изделия санитарные керамические. Типы и основные размеры (с Поправкой)» размер </w:t>
      </w:r>
      <w:r>
        <w:rPr>
          <w:lang w:val="en-US" w:eastAsia="en-US" w:bidi="en-US"/>
          <w:w w:val="100"/>
          <w:spacing w:val="0"/>
          <w:color w:val="000000"/>
          <w:position w:val="0"/>
        </w:rPr>
        <w:t xml:space="preserve">h </w:t>
      </w:r>
      <w:r>
        <w:rPr>
          <w:lang w:val="ru-RU" w:eastAsia="ru-RU" w:bidi="ru-RU"/>
          <w:w w:val="100"/>
          <w:spacing w:val="0"/>
          <w:color w:val="000000"/>
          <w:position w:val="0"/>
        </w:rPr>
        <w:t xml:space="preserve">установлен исключительно для унитаза </w:t>
      </w:r>
      <w:r>
        <w:rPr>
          <w:rStyle w:val="CharStyle21"/>
        </w:rPr>
        <w:t>без</w:t>
      </w:r>
      <w:r>
        <w:rPr>
          <w:lang w:val="ru-RU" w:eastAsia="ru-RU" w:bidi="ru-RU"/>
          <w:w w:val="100"/>
          <w:spacing w:val="0"/>
          <w:color w:val="000000"/>
          <w:position w:val="0"/>
        </w:rPr>
        <w:t xml:space="preserve"> </w:t>
      </w:r>
      <w:r>
        <w:rPr>
          <w:rStyle w:val="CharStyle21"/>
        </w:rPr>
        <w:t>цельнолитой полочки</w:t>
      </w:r>
      <w:r>
        <w:rPr>
          <w:lang w:val="ru-RU" w:eastAsia="ru-RU" w:bidi="ru-RU"/>
          <w:w w:val="100"/>
          <w:spacing w:val="0"/>
          <w:color w:val="000000"/>
          <w:position w:val="0"/>
        </w:rPr>
        <w:t>.</w:t>
      </w:r>
    </w:p>
    <w:p>
      <w:pPr>
        <w:pStyle w:val="Style16"/>
        <w:widowControl w:val="0"/>
        <w:keepNext w:val="0"/>
        <w:keepLines w:val="0"/>
        <w:shd w:val="clear" w:color="auto" w:fill="auto"/>
        <w:bidi w:val="0"/>
        <w:spacing w:before="0" w:after="0" w:line="274" w:lineRule="exact"/>
        <w:ind w:left="40" w:right="160" w:firstLine="540"/>
      </w:pPr>
      <w:r>
        <w:rPr>
          <w:lang w:val="ru-RU" w:eastAsia="ru-RU" w:bidi="ru-RU"/>
          <w:w w:val="100"/>
          <w:spacing w:val="0"/>
          <w:color w:val="000000"/>
          <w:position w:val="0"/>
        </w:rPr>
        <w:t>Таким образом, участником предложен товар, используемый при выполнении работ не соответствующий требованиям документации об электронном аукционе.</w:t>
      </w:r>
    </w:p>
    <w:p>
      <w:pPr>
        <w:pStyle w:val="Style16"/>
        <w:widowControl w:val="0"/>
        <w:keepNext w:val="0"/>
        <w:keepLines w:val="0"/>
        <w:shd w:val="clear" w:color="auto" w:fill="auto"/>
        <w:bidi w:val="0"/>
        <w:spacing w:before="0" w:after="0" w:line="274" w:lineRule="exact"/>
        <w:ind w:left="40" w:right="160" w:firstLine="540"/>
      </w:pPr>
      <w:r>
        <w:rPr>
          <w:lang w:val="ru-RU" w:eastAsia="ru-RU" w:bidi="ru-RU"/>
          <w:w w:val="100"/>
          <w:spacing w:val="0"/>
          <w:color w:val="000000"/>
          <w:position w:val="0"/>
        </w:rPr>
        <w:t>Аналогичного мнения придерживается Крымское УФАС России, что подтверждается решением от 25.09.2017 по делу №06/3559-17 о нарушении законодательства Российской</w:t>
      </w:r>
    </w:p>
    <w:p>
      <w:pPr>
        <w:pStyle w:val="Style16"/>
        <w:tabs>
          <w:tab w:leader="underscore" w:pos="10038" w:val="left"/>
        </w:tabs>
        <w:widowControl w:val="0"/>
        <w:keepNext w:val="0"/>
        <w:keepLines w:val="0"/>
        <w:shd w:val="clear" w:color="auto" w:fill="auto"/>
        <w:bidi w:val="0"/>
        <w:spacing w:before="0" w:after="0" w:line="274" w:lineRule="exact"/>
        <w:ind w:left="40" w:right="0" w:firstLine="0"/>
      </w:pPr>
      <w:r>
        <w:rPr>
          <w:rStyle w:val="CharStyle21"/>
        </w:rPr>
        <w:t>Федерации о контрактной системе в сфере закупок.</w:t>
      </w:r>
      <w:r>
        <w:rPr>
          <w:lang w:val="ru-RU" w:eastAsia="ru-RU" w:bidi="ru-RU"/>
          <w:w w:val="100"/>
          <w:spacing w:val="0"/>
          <w:color w:val="000000"/>
          <w:position w:val="0"/>
        </w:rPr>
        <w:tab/>
      </w:r>
    </w:p>
    <w:p>
      <w:pPr>
        <w:pStyle w:val="Style7"/>
        <w:widowControl w:val="0"/>
        <w:keepNext w:val="0"/>
        <w:keepLines w:val="0"/>
        <w:shd w:val="clear" w:color="auto" w:fill="auto"/>
        <w:bidi w:val="0"/>
        <w:jc w:val="both"/>
        <w:spacing w:before="0" w:after="0" w:line="317" w:lineRule="exact"/>
        <w:ind w:left="40" w:right="0" w:firstLine="820"/>
      </w:pPr>
      <w:r>
        <w:rPr>
          <w:lang w:val="ru-RU" w:eastAsia="ru-RU" w:bidi="ru-RU"/>
          <w:w w:val="100"/>
          <w:spacing w:val="0"/>
          <w:color w:val="000000"/>
          <w:position w:val="0"/>
        </w:rPr>
        <w:t>...</w:t>
      </w:r>
      <w:r>
        <w:rPr>
          <w:rStyle w:val="CharStyle23"/>
        </w:rPr>
        <w:t xml:space="preserve">» </w:t>
      </w:r>
      <w:r>
        <w:rPr>
          <w:lang w:val="ru-RU" w:eastAsia="ru-RU" w:bidi="ru-RU"/>
          <w:w w:val="100"/>
          <w:spacing w:val="0"/>
          <w:color w:val="000000"/>
          <w:position w:val="0"/>
        </w:rPr>
        <w:t>(цитата Протокола рассмотрения).</w:t>
      </w:r>
    </w:p>
    <w:p>
      <w:pPr>
        <w:pStyle w:val="Style7"/>
        <w:widowControl w:val="0"/>
        <w:keepNext w:val="0"/>
        <w:keepLines w:val="0"/>
        <w:shd w:val="clear" w:color="auto" w:fill="auto"/>
        <w:bidi w:val="0"/>
        <w:jc w:val="both"/>
        <w:spacing w:before="0" w:after="0" w:line="317" w:lineRule="exact"/>
        <w:ind w:left="40" w:right="20" w:firstLine="820"/>
      </w:pPr>
      <w:r>
        <w:rPr>
          <w:lang w:val="ru-RU" w:eastAsia="ru-RU" w:bidi="ru-RU"/>
          <w:w w:val="100"/>
          <w:spacing w:val="0"/>
          <w:color w:val="000000"/>
          <w:position w:val="0"/>
        </w:rPr>
        <w:t>Документация об Аукционе содержит следующие требования к товарам, используемым при выполнении работ: «.</w:t>
      </w:r>
    </w:p>
    <w:p>
      <w:pPr>
        <w:pStyle w:val="Style9"/>
        <w:framePr w:h="208" w:wrap="around" w:vAnchor="text" w:hAnchor="margin" w:x="8829" w:y="2524"/>
        <w:widowControl w:val="0"/>
        <w:keepNext w:val="0"/>
        <w:keepLines w:val="0"/>
        <w:shd w:val="clear" w:color="auto" w:fill="auto"/>
        <w:bidi w:val="0"/>
        <w:jc w:val="left"/>
        <w:spacing w:before="0" w:after="0" w:line="200" w:lineRule="exact"/>
        <w:ind w:left="100" w:right="0" w:firstLine="0"/>
      </w:pPr>
      <w:r>
        <w:rPr>
          <w:rStyle w:val="CharStyle10"/>
        </w:rPr>
        <w:t>в миллиметрах</w:t>
      </w:r>
    </w:p>
    <w:p>
      <w:pPr>
        <w:pStyle w:val="Style9"/>
        <w:widowControl w:val="0"/>
        <w:keepNext w:val="0"/>
        <w:keepLines w:val="0"/>
        <w:shd w:val="clear" w:color="auto" w:fill="auto"/>
        <w:bidi w:val="0"/>
        <w:spacing w:before="0" w:after="250"/>
        <w:ind w:left="40" w:right="20" w:firstLine="820"/>
      </w:pPr>
      <w:r>
        <w:rPr>
          <w:lang w:val="ru-RU" w:eastAsia="ru-RU" w:bidi="ru-RU"/>
          <w:w w:val="100"/>
          <w:spacing w:val="0"/>
          <w:color w:val="000000"/>
          <w:position w:val="0"/>
        </w:rPr>
        <w:t>Камни бортовые БР 100.30.15. Бетон камней должен иметь класс по прочности на сжатие В30. Требуется соответствие ГОСТ 6665-91. Верхние, нижние и вертикальные грани камней должны быть взаимно перпендикулярны. Допускается использование камней с технологическим уклоном нелицевых вертикальных граней до 5%. Допускается использование камней с закруглением лицевых граней радиусом до 5 мм и нелицевых - до 15 мм. Допускается использование камней с фасками шириной до 10 мм.</w:t>
      </w:r>
    </w:p>
    <w:tbl>
      <w:tblPr>
        <w:tblOverlap w:val="never"/>
        <w:tblLayout w:type="fixed"/>
        <w:jc w:val="left"/>
      </w:tblPr>
      <w:tblGrid>
        <w:gridCol w:w="1114"/>
        <w:gridCol w:w="994"/>
        <w:gridCol w:w="710"/>
        <w:gridCol w:w="566"/>
        <w:gridCol w:w="566"/>
        <w:gridCol w:w="2952"/>
        <w:gridCol w:w="850"/>
        <w:gridCol w:w="1286"/>
      </w:tblGrid>
      <w:tr>
        <w:trPr>
          <w:trHeight w:val="245" w:hRule="exact"/>
        </w:trPr>
        <w:tc>
          <w:tcPr>
            <w:shd w:val="clear" w:color="auto" w:fill="FFFFFF"/>
            <w:tcBorders>
              <w:left w:val="single" w:sz="4"/>
              <w:top w:val="single" w:sz="4"/>
            </w:tcBorders>
            <w:vAlign w:val="bottom"/>
          </w:tcPr>
          <w:p>
            <w:pPr>
              <w:pStyle w:val="Style7"/>
              <w:framePr w:w="9038" w:h="494" w:hSpace="710" w:wrap="notBeside" w:vAnchor="text" w:hAnchor="text" w:x="1297" w:y="1215"/>
              <w:widowControl w:val="0"/>
              <w:keepNext w:val="0"/>
              <w:keepLines w:val="0"/>
              <w:shd w:val="clear" w:color="auto" w:fill="auto"/>
              <w:bidi w:val="0"/>
              <w:jc w:val="center"/>
              <w:spacing w:before="0" w:after="0" w:line="180" w:lineRule="exact"/>
              <w:ind w:left="0" w:right="0" w:firstLine="0"/>
            </w:pPr>
            <w:r>
              <w:rPr>
                <w:rStyle w:val="CharStyle25"/>
                <w:lang w:val="en-US" w:eastAsia="en-US" w:bidi="en-US"/>
              </w:rPr>
              <w:t>H</w:t>
            </w:r>
          </w:p>
        </w:tc>
        <w:tc>
          <w:tcPr>
            <w:shd w:val="clear" w:color="auto" w:fill="FFFFFF"/>
            <w:tcBorders>
              <w:left w:val="single" w:sz="4"/>
              <w:top w:val="single" w:sz="4"/>
            </w:tcBorders>
            <w:vAlign w:val="bottom"/>
          </w:tcPr>
          <w:p>
            <w:pPr>
              <w:pStyle w:val="Style7"/>
              <w:framePr w:w="9038" w:h="494" w:hSpace="710" w:wrap="notBeside" w:vAnchor="text" w:hAnchor="text" w:x="1297" w:y="1215"/>
              <w:widowControl w:val="0"/>
              <w:keepNext w:val="0"/>
              <w:keepLines w:val="0"/>
              <w:shd w:val="clear" w:color="auto" w:fill="auto"/>
              <w:bidi w:val="0"/>
              <w:jc w:val="center"/>
              <w:spacing w:before="0" w:after="0" w:line="180" w:lineRule="exact"/>
              <w:ind w:left="0" w:right="0" w:firstLine="0"/>
            </w:pPr>
            <w:r>
              <w:rPr>
                <w:rStyle w:val="CharStyle25"/>
                <w:lang w:val="en-US" w:eastAsia="en-US" w:bidi="en-US"/>
              </w:rPr>
              <w:t>h</w:t>
            </w:r>
          </w:p>
        </w:tc>
        <w:tc>
          <w:tcPr>
            <w:shd w:val="clear" w:color="auto" w:fill="FFFFFF"/>
            <w:tcBorders>
              <w:left w:val="single" w:sz="4"/>
              <w:top w:val="single" w:sz="4"/>
            </w:tcBorders>
            <w:vAlign w:val="bottom"/>
          </w:tcPr>
          <w:p>
            <w:pPr>
              <w:pStyle w:val="Style7"/>
              <w:framePr w:w="9038" w:h="494" w:hSpace="710" w:wrap="notBeside" w:vAnchor="text" w:hAnchor="text" w:x="1297" w:y="1215"/>
              <w:widowControl w:val="0"/>
              <w:keepNext w:val="0"/>
              <w:keepLines w:val="0"/>
              <w:shd w:val="clear" w:color="auto" w:fill="auto"/>
              <w:bidi w:val="0"/>
              <w:jc w:val="left"/>
              <w:spacing w:before="0" w:after="0" w:line="180" w:lineRule="exact"/>
              <w:ind w:left="240" w:right="0" w:firstLine="0"/>
            </w:pPr>
            <w:r>
              <w:rPr>
                <w:rStyle w:val="CharStyle25"/>
                <w:lang w:val="en-US" w:eastAsia="en-US" w:bidi="en-US"/>
              </w:rPr>
              <w:t>hi</w:t>
            </w:r>
          </w:p>
        </w:tc>
        <w:tc>
          <w:tcPr>
            <w:shd w:val="clear" w:color="auto" w:fill="FFFFFF"/>
            <w:tcBorders>
              <w:left w:val="single" w:sz="4"/>
              <w:top w:val="single" w:sz="4"/>
            </w:tcBorders>
            <w:vAlign w:val="bottom"/>
          </w:tcPr>
          <w:p>
            <w:pPr>
              <w:pStyle w:val="Style7"/>
              <w:framePr w:w="9038" w:h="494" w:hSpace="710" w:wrap="notBeside" w:vAnchor="text" w:hAnchor="text" w:x="1297" w:y="1215"/>
              <w:widowControl w:val="0"/>
              <w:keepNext w:val="0"/>
              <w:keepLines w:val="0"/>
              <w:shd w:val="clear" w:color="auto" w:fill="auto"/>
              <w:bidi w:val="0"/>
              <w:jc w:val="left"/>
              <w:spacing w:before="0" w:after="0" w:line="180" w:lineRule="exact"/>
              <w:ind w:left="260" w:right="0" w:firstLine="0"/>
            </w:pPr>
            <w:r>
              <w:rPr>
                <w:rStyle w:val="CharStyle25"/>
                <w:lang w:val="en-US" w:eastAsia="en-US" w:bidi="en-US"/>
              </w:rPr>
              <w:t>l</w:t>
            </w:r>
          </w:p>
        </w:tc>
        <w:tc>
          <w:tcPr>
            <w:shd w:val="clear" w:color="auto" w:fill="FFFFFF"/>
            <w:tcBorders>
              <w:left w:val="single" w:sz="4"/>
              <w:top w:val="single" w:sz="4"/>
            </w:tcBorders>
            <w:vAlign w:val="bottom"/>
          </w:tcPr>
          <w:p>
            <w:pPr>
              <w:pStyle w:val="Style7"/>
              <w:framePr w:w="9038" w:h="494" w:hSpace="710" w:wrap="notBeside" w:vAnchor="text" w:hAnchor="text" w:x="1297" w:y="1215"/>
              <w:widowControl w:val="0"/>
              <w:keepNext w:val="0"/>
              <w:keepLines w:val="0"/>
              <w:shd w:val="clear" w:color="auto" w:fill="auto"/>
              <w:bidi w:val="0"/>
              <w:jc w:val="left"/>
              <w:spacing w:before="0" w:after="0" w:line="180" w:lineRule="exact"/>
              <w:ind w:left="240" w:right="0" w:firstLine="0"/>
            </w:pPr>
            <w:r>
              <w:rPr>
                <w:rStyle w:val="CharStyle25"/>
                <w:lang w:val="en-US" w:eastAsia="en-US" w:bidi="en-US"/>
              </w:rPr>
              <w:t>ll</w:t>
            </w:r>
          </w:p>
        </w:tc>
        <w:tc>
          <w:tcPr>
            <w:shd w:val="clear" w:color="auto" w:fill="FFFFFF"/>
            <w:tcBorders>
              <w:left w:val="single" w:sz="4"/>
              <w:top w:val="single" w:sz="4"/>
            </w:tcBorders>
            <w:vAlign w:val="bottom"/>
          </w:tcPr>
          <w:p>
            <w:pPr>
              <w:pStyle w:val="Style7"/>
              <w:framePr w:w="9038" w:h="494" w:hSpace="710" w:wrap="notBeside" w:vAnchor="text" w:hAnchor="text" w:x="1297" w:y="1215"/>
              <w:widowControl w:val="0"/>
              <w:keepNext w:val="0"/>
              <w:keepLines w:val="0"/>
              <w:shd w:val="clear" w:color="auto" w:fill="auto"/>
              <w:bidi w:val="0"/>
              <w:jc w:val="center"/>
              <w:spacing w:before="0" w:after="0" w:line="180" w:lineRule="exact"/>
              <w:ind w:left="0" w:right="0" w:firstLine="0"/>
            </w:pPr>
            <w:r>
              <w:rPr>
                <w:rStyle w:val="CharStyle25"/>
                <w:lang w:val="en-US" w:eastAsia="en-US" w:bidi="en-US"/>
              </w:rPr>
              <w:t>L</w:t>
            </w:r>
          </w:p>
        </w:tc>
        <w:tc>
          <w:tcPr>
            <w:shd w:val="clear" w:color="auto" w:fill="FFFFFF"/>
            <w:tcBorders>
              <w:left w:val="single" w:sz="4"/>
              <w:top w:val="single" w:sz="4"/>
            </w:tcBorders>
            <w:vAlign w:val="bottom"/>
          </w:tcPr>
          <w:p>
            <w:pPr>
              <w:pStyle w:val="Style7"/>
              <w:framePr w:w="9038" w:h="494" w:hSpace="710" w:wrap="notBeside" w:vAnchor="text" w:hAnchor="text" w:x="1297" w:y="1215"/>
              <w:widowControl w:val="0"/>
              <w:keepNext w:val="0"/>
              <w:keepLines w:val="0"/>
              <w:shd w:val="clear" w:color="auto" w:fill="auto"/>
              <w:bidi w:val="0"/>
              <w:jc w:val="center"/>
              <w:spacing w:before="0" w:after="0" w:line="180" w:lineRule="exact"/>
              <w:ind w:left="0" w:right="0" w:firstLine="0"/>
            </w:pPr>
            <w:r>
              <w:rPr>
                <w:rStyle w:val="CharStyle25"/>
                <w:lang w:val="en-US" w:eastAsia="en-US" w:bidi="en-US"/>
              </w:rPr>
              <w:t>b</w:t>
            </w:r>
          </w:p>
        </w:tc>
        <w:tc>
          <w:tcPr>
            <w:shd w:val="clear" w:color="auto" w:fill="FFFFFF"/>
            <w:tcBorders>
              <w:left w:val="single" w:sz="4"/>
              <w:right w:val="single" w:sz="4"/>
              <w:top w:val="single" w:sz="4"/>
            </w:tcBorders>
            <w:vAlign w:val="bottom"/>
          </w:tcPr>
          <w:p>
            <w:pPr>
              <w:pStyle w:val="Style7"/>
              <w:framePr w:w="9038" w:h="494" w:hSpace="710" w:wrap="notBeside" w:vAnchor="text" w:hAnchor="text" w:x="1297" w:y="1215"/>
              <w:widowControl w:val="0"/>
              <w:keepNext w:val="0"/>
              <w:keepLines w:val="0"/>
              <w:shd w:val="clear" w:color="auto" w:fill="auto"/>
              <w:bidi w:val="0"/>
              <w:jc w:val="center"/>
              <w:spacing w:before="0" w:after="0" w:line="180" w:lineRule="exact"/>
              <w:ind w:left="0" w:right="0" w:firstLine="0"/>
            </w:pPr>
            <w:r>
              <w:rPr>
                <w:rStyle w:val="CharStyle25"/>
                <w:lang w:val="en-US" w:eastAsia="en-US" w:bidi="en-US"/>
              </w:rPr>
              <w:t>B</w:t>
            </w:r>
          </w:p>
        </w:tc>
      </w:tr>
      <w:tr>
        <w:trPr>
          <w:trHeight w:val="250" w:hRule="exact"/>
        </w:trPr>
        <w:tc>
          <w:tcPr>
            <w:shd w:val="clear" w:color="auto" w:fill="FFFFFF"/>
            <w:tcBorders>
              <w:left w:val="single" w:sz="4"/>
              <w:top w:val="single" w:sz="4"/>
              <w:bottom w:val="single" w:sz="4"/>
            </w:tcBorders>
            <w:vAlign w:val="top"/>
          </w:tcPr>
          <w:p>
            <w:pPr>
              <w:pStyle w:val="Style7"/>
              <w:framePr w:w="9038" w:h="494" w:hSpace="710" w:wrap="notBeside" w:vAnchor="text" w:hAnchor="text" w:x="1297" w:y="1215"/>
              <w:widowControl w:val="0"/>
              <w:keepNext w:val="0"/>
              <w:keepLines w:val="0"/>
              <w:shd w:val="clear" w:color="auto" w:fill="auto"/>
              <w:bidi w:val="0"/>
              <w:jc w:val="center"/>
              <w:spacing w:before="0" w:after="0" w:line="180" w:lineRule="exact"/>
              <w:ind w:left="0" w:right="0" w:firstLine="0"/>
            </w:pPr>
            <w:r>
              <w:rPr>
                <w:rStyle w:val="CharStyle25"/>
              </w:rPr>
              <w:t>370/400</w:t>
            </w:r>
          </w:p>
        </w:tc>
        <w:tc>
          <w:tcPr>
            <w:shd w:val="clear" w:color="auto" w:fill="FFFFFF"/>
            <w:tcBorders>
              <w:left w:val="single" w:sz="4"/>
              <w:top w:val="single" w:sz="4"/>
              <w:bottom w:val="single" w:sz="4"/>
            </w:tcBorders>
            <w:vAlign w:val="top"/>
          </w:tcPr>
          <w:p>
            <w:pPr>
              <w:pStyle w:val="Style7"/>
              <w:framePr w:w="9038" w:h="494" w:hSpace="710" w:wrap="notBeside" w:vAnchor="text" w:hAnchor="text" w:x="1297" w:y="1215"/>
              <w:widowControl w:val="0"/>
              <w:keepNext w:val="0"/>
              <w:keepLines w:val="0"/>
              <w:shd w:val="clear" w:color="auto" w:fill="auto"/>
              <w:bidi w:val="0"/>
              <w:jc w:val="center"/>
              <w:spacing w:before="0" w:after="0" w:line="180" w:lineRule="exact"/>
              <w:ind w:left="0" w:right="0" w:firstLine="0"/>
            </w:pPr>
            <w:r>
              <w:rPr>
                <w:rStyle w:val="CharStyle25"/>
              </w:rPr>
              <w:t>320/350</w:t>
            </w:r>
          </w:p>
        </w:tc>
        <w:tc>
          <w:tcPr>
            <w:shd w:val="clear" w:color="auto" w:fill="FFFFFF"/>
            <w:tcBorders>
              <w:left w:val="single" w:sz="4"/>
              <w:top w:val="single" w:sz="4"/>
              <w:bottom w:val="single" w:sz="4"/>
            </w:tcBorders>
            <w:vAlign w:val="top"/>
          </w:tcPr>
          <w:p>
            <w:pPr>
              <w:pStyle w:val="Style7"/>
              <w:framePr w:w="9038" w:h="494" w:hSpace="710" w:wrap="notBeside" w:vAnchor="text" w:hAnchor="text" w:x="1297" w:y="1215"/>
              <w:widowControl w:val="0"/>
              <w:keepNext w:val="0"/>
              <w:keepLines w:val="0"/>
              <w:shd w:val="clear" w:color="auto" w:fill="auto"/>
              <w:bidi w:val="0"/>
              <w:jc w:val="left"/>
              <w:spacing w:before="0" w:after="0" w:line="180" w:lineRule="exact"/>
              <w:ind w:left="240" w:right="0" w:firstLine="0"/>
            </w:pPr>
            <w:r>
              <w:rPr>
                <w:rStyle w:val="CharStyle25"/>
              </w:rPr>
              <w:t>150</w:t>
            </w:r>
          </w:p>
        </w:tc>
        <w:tc>
          <w:tcPr>
            <w:shd w:val="clear" w:color="auto" w:fill="FFFFFF"/>
            <w:tcBorders>
              <w:left w:val="single" w:sz="4"/>
              <w:top w:val="single" w:sz="4"/>
              <w:bottom w:val="single" w:sz="4"/>
            </w:tcBorders>
            <w:vAlign w:val="top"/>
          </w:tcPr>
          <w:p>
            <w:pPr>
              <w:pStyle w:val="Style7"/>
              <w:framePr w:w="9038" w:h="494" w:hSpace="710" w:wrap="notBeside" w:vAnchor="text" w:hAnchor="text" w:x="1297" w:y="1215"/>
              <w:widowControl w:val="0"/>
              <w:keepNext w:val="0"/>
              <w:keepLines w:val="0"/>
              <w:shd w:val="clear" w:color="auto" w:fill="auto"/>
              <w:bidi w:val="0"/>
              <w:jc w:val="left"/>
              <w:spacing w:before="0" w:after="0" w:line="180" w:lineRule="exact"/>
              <w:ind w:left="140" w:right="0" w:firstLine="0"/>
            </w:pPr>
            <w:r>
              <w:rPr>
                <w:rStyle w:val="CharStyle25"/>
              </w:rPr>
              <w:t>330</w:t>
            </w:r>
          </w:p>
        </w:tc>
        <w:tc>
          <w:tcPr>
            <w:shd w:val="clear" w:color="auto" w:fill="FFFFFF"/>
            <w:tcBorders>
              <w:left w:val="single" w:sz="4"/>
              <w:top w:val="single" w:sz="4"/>
              <w:bottom w:val="single" w:sz="4"/>
            </w:tcBorders>
            <w:vAlign w:val="top"/>
          </w:tcPr>
          <w:p>
            <w:pPr>
              <w:pStyle w:val="Style7"/>
              <w:framePr w:w="9038" w:h="494" w:hSpace="710" w:wrap="notBeside" w:vAnchor="text" w:hAnchor="text" w:x="1297" w:y="1215"/>
              <w:widowControl w:val="0"/>
              <w:keepNext w:val="0"/>
              <w:keepLines w:val="0"/>
              <w:shd w:val="clear" w:color="auto" w:fill="auto"/>
              <w:bidi w:val="0"/>
              <w:jc w:val="left"/>
              <w:spacing w:before="0" w:after="0" w:line="180" w:lineRule="exact"/>
              <w:ind w:left="140" w:right="0" w:firstLine="0"/>
            </w:pPr>
            <w:r>
              <w:rPr>
                <w:rStyle w:val="CharStyle25"/>
                <w:lang w:val="en-US" w:eastAsia="en-US" w:bidi="en-US"/>
              </w:rPr>
              <w:t>435</w:t>
            </w:r>
          </w:p>
        </w:tc>
        <w:tc>
          <w:tcPr>
            <w:shd w:val="clear" w:color="auto" w:fill="FFFFFF"/>
            <w:tcBorders>
              <w:left w:val="single" w:sz="4"/>
              <w:top w:val="single" w:sz="4"/>
              <w:bottom w:val="single" w:sz="4"/>
            </w:tcBorders>
            <w:vAlign w:val="top"/>
          </w:tcPr>
          <w:p>
            <w:pPr>
              <w:pStyle w:val="Style7"/>
              <w:framePr w:w="9038" w:h="494" w:hSpace="710" w:wrap="notBeside" w:vAnchor="text" w:hAnchor="text" w:x="1297" w:y="1215"/>
              <w:widowControl w:val="0"/>
              <w:keepNext w:val="0"/>
              <w:keepLines w:val="0"/>
              <w:shd w:val="clear" w:color="auto" w:fill="auto"/>
              <w:bidi w:val="0"/>
              <w:jc w:val="center"/>
              <w:spacing w:before="0" w:after="0" w:line="180" w:lineRule="exact"/>
              <w:ind w:left="0" w:right="0" w:firstLine="0"/>
            </w:pPr>
            <w:r>
              <w:rPr>
                <w:rStyle w:val="CharStyle25"/>
              </w:rPr>
              <w:t xml:space="preserve">не менее </w:t>
            </w:r>
            <w:r>
              <w:rPr>
                <w:rStyle w:val="CharStyle25"/>
                <w:lang w:val="en-US" w:eastAsia="en-US" w:bidi="en-US"/>
              </w:rPr>
              <w:t xml:space="preserve">605 </w:t>
            </w:r>
            <w:r>
              <w:rPr>
                <w:rStyle w:val="CharStyle25"/>
              </w:rPr>
              <w:t>или 460</w:t>
            </w:r>
          </w:p>
        </w:tc>
        <w:tc>
          <w:tcPr>
            <w:shd w:val="clear" w:color="auto" w:fill="FFFFFF"/>
            <w:tcBorders>
              <w:left w:val="single" w:sz="4"/>
              <w:top w:val="single" w:sz="4"/>
              <w:bottom w:val="single" w:sz="4"/>
            </w:tcBorders>
            <w:vAlign w:val="bottom"/>
          </w:tcPr>
          <w:p>
            <w:pPr>
              <w:pStyle w:val="Style7"/>
              <w:framePr w:w="9038" w:h="494" w:hSpace="710" w:wrap="notBeside" w:vAnchor="text" w:hAnchor="text" w:x="1297" w:y="1215"/>
              <w:widowControl w:val="0"/>
              <w:keepNext w:val="0"/>
              <w:keepLines w:val="0"/>
              <w:shd w:val="clear" w:color="auto" w:fill="auto"/>
              <w:bidi w:val="0"/>
              <w:jc w:val="center"/>
              <w:spacing w:before="0" w:after="0" w:line="180" w:lineRule="exact"/>
              <w:ind w:left="0" w:right="0" w:firstLine="0"/>
            </w:pPr>
            <w:r>
              <w:rPr>
                <w:rStyle w:val="CharStyle25"/>
              </w:rPr>
              <w:t>260</w:t>
            </w:r>
          </w:p>
        </w:tc>
        <w:tc>
          <w:tcPr>
            <w:shd w:val="clear" w:color="auto" w:fill="FFFFFF"/>
            <w:tcBorders>
              <w:left w:val="single" w:sz="4"/>
              <w:right w:val="single" w:sz="4"/>
              <w:top w:val="single" w:sz="4"/>
              <w:bottom w:val="single" w:sz="4"/>
            </w:tcBorders>
            <w:vAlign w:val="top"/>
          </w:tcPr>
          <w:p>
            <w:pPr>
              <w:pStyle w:val="Style7"/>
              <w:framePr w:w="9038" w:h="494" w:hSpace="710" w:wrap="notBeside" w:vAnchor="text" w:hAnchor="text" w:x="1297" w:y="1215"/>
              <w:widowControl w:val="0"/>
              <w:keepNext w:val="0"/>
              <w:keepLines w:val="0"/>
              <w:shd w:val="clear" w:color="auto" w:fill="auto"/>
              <w:bidi w:val="0"/>
              <w:jc w:val="center"/>
              <w:spacing w:before="0" w:after="0" w:line="180" w:lineRule="exact"/>
              <w:ind w:left="0" w:right="0" w:firstLine="0"/>
            </w:pPr>
            <w:r>
              <w:rPr>
                <w:rStyle w:val="CharStyle25"/>
              </w:rPr>
              <w:t>340/360</w:t>
            </w:r>
          </w:p>
        </w:tc>
      </w:tr>
    </w:tbl>
    <w:p>
      <w:pPr>
        <w:pStyle w:val="Style26"/>
        <w:framePr w:w="10200" w:h="1006" w:wrap="notBeside" w:vAnchor="text" w:hAnchor="text" w:x="711" w:y="-45"/>
        <w:widowControl w:val="0"/>
        <w:keepNext w:val="0"/>
        <w:keepLines w:val="0"/>
        <w:shd w:val="clear" w:color="auto" w:fill="auto"/>
        <w:bidi w:val="0"/>
        <w:spacing w:before="0" w:after="0"/>
        <w:ind w:left="0" w:right="0" w:firstLine="860"/>
      </w:pPr>
      <w:r>
        <w:rPr>
          <w:lang w:val="ru-RU" w:eastAsia="ru-RU" w:bidi="ru-RU"/>
          <w:w w:val="100"/>
          <w:spacing w:val="0"/>
          <w:color w:val="000000"/>
          <w:position w:val="0"/>
        </w:rPr>
        <w:t>Унитаз компакт с бачком. Требуется соответствие ГОСТ 30493-96. Унитаз должен быть с цельноотлитой полочкой с прямым или косым выпуском или без цельноотлитой полочки с косым выпуском. Унитаз должен быть тарельчатый.</w:t>
      </w:r>
    </w:p>
    <w:p>
      <w:pPr>
        <w:pStyle w:val="Style26"/>
        <w:framePr w:w="10200" w:h="1006" w:wrap="notBeside" w:vAnchor="text" w:hAnchor="text" w:x="711" w:y="-45"/>
        <w:widowControl w:val="0"/>
        <w:keepNext w:val="0"/>
        <w:keepLines w:val="0"/>
        <w:shd w:val="clear" w:color="auto" w:fill="auto"/>
        <w:bidi w:val="0"/>
        <w:jc w:val="left"/>
        <w:spacing w:before="0" w:after="0" w:line="210" w:lineRule="exact"/>
        <w:ind w:left="0" w:right="0" w:firstLine="0"/>
      </w:pPr>
      <w:r>
        <w:rPr>
          <w:lang w:val="ru-RU" w:eastAsia="ru-RU" w:bidi="ru-RU"/>
          <w:w w:val="100"/>
          <w:spacing w:val="0"/>
          <w:color w:val="000000"/>
          <w:position w:val="0"/>
        </w:rPr>
        <w:t>Размеры унитаза</w:t>
      </w:r>
    </w:p>
    <w:p>
      <w:pPr>
        <w:widowControl w:val="0"/>
        <w:rPr>
          <w:sz w:val="2"/>
          <w:szCs w:val="2"/>
        </w:rPr>
      </w:pPr>
      <w:r>
        <w:br w:type="page"/>
      </w:r>
    </w:p>
    <w:p>
      <w:pPr>
        <w:widowControl w:val="0"/>
      </w:pPr>
      <w:r>
        <w:br w:type="page"/>
      </w:r>
    </w:p>
    <w:p>
      <w:pPr>
        <w:pStyle w:val="Style9"/>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Смывные бачки должны соответствовать требованиям ГОСТ 21485-2016. Бачки, непосредственно устанавливаемые на унитазах, должны иметь присоединительные размеры, обеспечивающие присоединение к полочкам по ГОСТ 30493-96. Полезный объем бачков должен составлять не менее 6,0 л.</w:t>
      </w:r>
    </w:p>
    <w:p>
      <w:pPr>
        <w:pStyle w:val="Style7"/>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(цитаты).</w:t>
      </w:r>
    </w:p>
    <w:p>
      <w:pPr>
        <w:pStyle w:val="Style7"/>
        <w:widowControl w:val="0"/>
        <w:keepNext w:val="0"/>
        <w:keepLines w:val="0"/>
        <w:shd w:val="clear" w:color="auto" w:fill="auto"/>
        <w:bidi w:val="0"/>
        <w:jc w:val="both"/>
        <w:spacing w:before="0" w:after="0" w:line="322" w:lineRule="exact"/>
        <w:ind w:left="20" w:right="160" w:firstLine="860"/>
      </w:pPr>
      <w:r>
        <w:rPr>
          <w:lang w:val="ru-RU" w:eastAsia="ru-RU" w:bidi="ru-RU"/>
          <w:w w:val="100"/>
          <w:spacing w:val="0"/>
          <w:color w:val="000000"/>
          <w:position w:val="0"/>
        </w:rPr>
        <w:t>При этом документация об Аукционе содержит Инструкцию по заполнению первых частей заявок участников, согласно которой: «.</w:t>
      </w:r>
    </w:p>
    <w:p>
      <w:pPr>
        <w:pStyle w:val="Style16"/>
        <w:widowControl w:val="0"/>
        <w:keepNext w:val="0"/>
        <w:keepLines w:val="0"/>
        <w:shd w:val="clear" w:color="auto" w:fill="auto"/>
        <w:bidi w:val="0"/>
        <w:spacing w:before="0" w:after="0" w:line="298" w:lineRule="exact"/>
        <w:ind w:left="20" w:right="160" w:firstLine="860"/>
      </w:pPr>
      <w:r>
        <w:rPr>
          <w:lang w:val="ru-RU" w:eastAsia="ru-RU" w:bidi="ru-RU"/>
          <w:w w:val="100"/>
          <w:spacing w:val="0"/>
          <w:color w:val="000000"/>
          <w:position w:val="0"/>
        </w:rPr>
        <w:t xml:space="preserve">Предложение участника должно позволять идентифицировать каждую товарную позицию (вариант исполнения товара) в первой части заявки, в отношении которого подается предложение </w:t>
      </w:r>
      <w:r>
        <w:rPr>
          <w:rStyle w:val="CharStyle28"/>
        </w:rPr>
        <w:t>.» (цитата).</w:t>
      </w:r>
    </w:p>
    <w:p>
      <w:pPr>
        <w:pStyle w:val="Style16"/>
        <w:widowControl w:val="0"/>
        <w:keepNext w:val="0"/>
        <w:keepLines w:val="0"/>
        <w:shd w:val="clear" w:color="auto" w:fill="auto"/>
        <w:bidi w:val="0"/>
        <w:spacing w:before="0" w:after="0" w:line="278" w:lineRule="exact"/>
        <w:ind w:left="20" w:right="160" w:firstLine="860"/>
      </w:pPr>
      <w:r>
        <w:rPr>
          <w:rStyle w:val="CharStyle28"/>
        </w:rPr>
        <w:t>На заседании Комиссии представитель Уполномоченного органа пояснил, что Заявитель в первой части заявки при описании товара не указал конкретные показатели: «..</w:t>
      </w:r>
      <w:r>
        <w:rPr>
          <w:lang w:val="ru-RU" w:eastAsia="ru-RU" w:bidi="ru-RU"/>
          <w:w w:val="100"/>
          <w:spacing w:val="0"/>
          <w:color w:val="000000"/>
          <w:position w:val="0"/>
        </w:rPr>
        <w:t>участником электронного аукциона по номенклатурной позиции «Камни бортовые БР 100.30.15» предложено значение «</w:t>
      </w:r>
      <w:r>
        <w:rPr>
          <w:rStyle w:val="CharStyle18"/>
        </w:rPr>
        <w:t xml:space="preserve">Использование камней с закруглением </w:t>
      </w:r>
      <w:r>
        <w:rPr>
          <w:rStyle w:val="CharStyle22"/>
        </w:rPr>
        <w:t>лицевых</w:t>
      </w:r>
      <w:r>
        <w:rPr>
          <w:rStyle w:val="CharStyle18"/>
        </w:rPr>
        <w:t xml:space="preserve"> граней не осуществляется</w:t>
      </w:r>
      <w:r>
        <w:rPr>
          <w:lang w:val="ru-RU" w:eastAsia="ru-RU" w:bidi="ru-RU"/>
          <w:w w:val="100"/>
          <w:spacing w:val="0"/>
          <w:color w:val="000000"/>
          <w:position w:val="0"/>
        </w:rPr>
        <w:t xml:space="preserve">» (цитата из заявки), вместо требуемого заказчику «Допускается использование камней с закруглением </w:t>
      </w:r>
      <w:r>
        <w:rPr>
          <w:rStyle w:val="CharStyle18"/>
        </w:rPr>
        <w:t xml:space="preserve">лицевых </w:t>
      </w:r>
      <w:r>
        <w:rPr>
          <w:lang w:val="ru-RU" w:eastAsia="ru-RU" w:bidi="ru-RU"/>
          <w:w w:val="100"/>
          <w:spacing w:val="0"/>
          <w:color w:val="000000"/>
          <w:position w:val="0"/>
        </w:rPr>
        <w:t xml:space="preserve">граней радиусом до 5 мм </w:t>
      </w:r>
      <w:r>
        <w:rPr>
          <w:rStyle w:val="CharStyle18"/>
        </w:rPr>
        <w:t xml:space="preserve">и нелицевых </w:t>
      </w:r>
      <w:r>
        <w:rPr>
          <w:lang w:val="ru-RU" w:eastAsia="ru-RU" w:bidi="ru-RU"/>
          <w:w w:val="100"/>
          <w:spacing w:val="0"/>
          <w:color w:val="000000"/>
          <w:position w:val="0"/>
        </w:rPr>
        <w:t>- до 15 мм».</w:t>
      </w:r>
    </w:p>
    <w:p>
      <w:pPr>
        <w:pStyle w:val="Style16"/>
        <w:widowControl w:val="0"/>
        <w:keepNext w:val="0"/>
        <w:keepLines w:val="0"/>
        <w:shd w:val="clear" w:color="auto" w:fill="auto"/>
        <w:bidi w:val="0"/>
        <w:spacing w:before="0" w:after="0" w:line="278" w:lineRule="exact"/>
        <w:ind w:left="20" w:right="20" w:firstLine="540"/>
      </w:pPr>
      <w:r>
        <w:rPr>
          <w:lang w:val="ru-RU" w:eastAsia="ru-RU" w:bidi="ru-RU"/>
          <w:w w:val="100"/>
          <w:spacing w:val="0"/>
          <w:color w:val="000000"/>
          <w:position w:val="0"/>
        </w:rPr>
        <w:t xml:space="preserve">Таким образом, участником закупки не предоставлена информация по использованию или неиспользованию камней с технологическим уклоном </w:t>
      </w:r>
      <w:r>
        <w:rPr>
          <w:rStyle w:val="CharStyle18"/>
        </w:rPr>
        <w:t xml:space="preserve">нелицевых </w:t>
      </w:r>
      <w:r>
        <w:rPr>
          <w:lang w:val="ru-RU" w:eastAsia="ru-RU" w:bidi="ru-RU"/>
          <w:w w:val="100"/>
          <w:spacing w:val="0"/>
          <w:color w:val="000000"/>
          <w:position w:val="0"/>
        </w:rPr>
        <w:t>вертикальных граней.</w:t>
      </w:r>
    </w:p>
    <w:p>
      <w:pPr>
        <w:pStyle w:val="Style16"/>
        <w:widowControl w:val="0"/>
        <w:keepNext w:val="0"/>
        <w:keepLines w:val="0"/>
        <w:shd w:val="clear" w:color="auto" w:fill="auto"/>
        <w:bidi w:val="0"/>
        <w:spacing w:before="0" w:after="0" w:line="278" w:lineRule="exact"/>
        <w:ind w:left="20" w:right="20" w:firstLine="540"/>
      </w:pPr>
      <w:r>
        <w:rPr>
          <w:lang w:val="ru-RU" w:eastAsia="ru-RU" w:bidi="ru-RU"/>
          <w:w w:val="100"/>
          <w:spacing w:val="0"/>
          <w:color w:val="000000"/>
          <w:position w:val="0"/>
        </w:rPr>
        <w:t>Исходя из вышеизложенного, Единой комиссии невозможно установить соответствие предлагаемого товара требованиям заказчика.</w:t>
      </w:r>
    </w:p>
    <w:p>
      <w:pPr>
        <w:pStyle w:val="Style16"/>
        <w:widowControl w:val="0"/>
        <w:keepNext w:val="0"/>
        <w:keepLines w:val="0"/>
        <w:shd w:val="clear" w:color="auto" w:fill="auto"/>
        <w:bidi w:val="0"/>
        <w:spacing w:before="0" w:after="0" w:line="278" w:lineRule="exact"/>
        <w:ind w:left="20" w:right="20" w:firstLine="540"/>
      </w:pPr>
      <w:r>
        <w:rPr>
          <w:lang w:val="ru-RU" w:eastAsia="ru-RU" w:bidi="ru-RU"/>
          <w:w w:val="100"/>
          <w:spacing w:val="0"/>
          <w:color w:val="000000"/>
          <w:position w:val="0"/>
        </w:rPr>
        <w:t xml:space="preserve">Согласно приложению №1 к разделу </w:t>
      </w:r>
      <w:r>
        <w:rPr>
          <w:lang w:val="en-US" w:eastAsia="en-US" w:bidi="en-US"/>
          <w:w w:val="100"/>
          <w:spacing w:val="0"/>
          <w:color w:val="000000"/>
          <w:position w:val="0"/>
        </w:rPr>
        <w:t xml:space="preserve">IV </w:t>
      </w:r>
      <w:r>
        <w:rPr>
          <w:lang w:val="ru-RU" w:eastAsia="ru-RU" w:bidi="ru-RU"/>
          <w:w w:val="100"/>
          <w:spacing w:val="0"/>
          <w:color w:val="000000"/>
          <w:position w:val="0"/>
        </w:rPr>
        <w:t>документации об аукционе в электронной форме по номенклатурной позиции «Унитаз компакт с бачком» установлены следующие значения:</w:t>
      </w:r>
    </w:p>
    <w:p>
      <w:pPr>
        <w:pStyle w:val="Style16"/>
        <w:numPr>
          <w:ilvl w:val="0"/>
          <w:numId w:val="7"/>
        </w:numPr>
        <w:widowControl w:val="0"/>
        <w:keepNext w:val="0"/>
        <w:keepLines w:val="0"/>
        <w:shd w:val="clear" w:color="auto" w:fill="auto"/>
        <w:bidi w:val="0"/>
        <w:spacing w:before="0" w:after="0" w:line="278" w:lineRule="exact"/>
        <w:ind w:left="20" w:right="0" w:firstLine="540"/>
      </w:pPr>
      <w:r>
        <w:rPr>
          <w:lang w:val="ru-RU" w:eastAsia="ru-RU" w:bidi="ru-RU"/>
          <w:w w:val="100"/>
          <w:spacing w:val="0"/>
          <w:color w:val="000000"/>
          <w:position w:val="0"/>
        </w:rPr>
        <w:t xml:space="preserve"> «Требуется соответствие ГОСТ 30493-96»;</w:t>
      </w:r>
    </w:p>
    <w:p>
      <w:pPr>
        <w:pStyle w:val="Style16"/>
        <w:numPr>
          <w:ilvl w:val="0"/>
          <w:numId w:val="7"/>
        </w:numPr>
        <w:widowControl w:val="0"/>
        <w:keepNext w:val="0"/>
        <w:keepLines w:val="0"/>
        <w:shd w:val="clear" w:color="auto" w:fill="auto"/>
        <w:bidi w:val="0"/>
        <w:spacing w:before="0" w:after="0" w:line="278" w:lineRule="exact"/>
        <w:ind w:left="20" w:right="20" w:firstLine="540"/>
      </w:pPr>
      <w:r>
        <w:rPr>
          <w:lang w:val="ru-RU" w:eastAsia="ru-RU" w:bidi="ru-RU"/>
          <w:w w:val="100"/>
          <w:spacing w:val="0"/>
          <w:color w:val="000000"/>
          <w:position w:val="0"/>
        </w:rPr>
        <w:t xml:space="preserve"> «Унитаз должен быть с цельноотлитой полочкой с прямым или косым выпуском или без цельноотлитой полочки с косым выпуском»;</w:t>
      </w:r>
    </w:p>
    <w:p>
      <w:pPr>
        <w:pStyle w:val="Style16"/>
        <w:numPr>
          <w:ilvl w:val="0"/>
          <w:numId w:val="7"/>
        </w:numPr>
        <w:widowControl w:val="0"/>
        <w:keepNext w:val="0"/>
        <w:keepLines w:val="0"/>
        <w:shd w:val="clear" w:color="auto" w:fill="auto"/>
        <w:bidi w:val="0"/>
        <w:spacing w:before="0" w:after="0" w:line="278" w:lineRule="exact"/>
        <w:ind w:left="20" w:right="0" w:firstLine="540"/>
      </w:pPr>
      <w:r>
        <w:rPr>
          <w:lang w:val="ru-RU" w:eastAsia="ru-RU" w:bidi="ru-RU"/>
          <w:w w:val="100"/>
          <w:spacing w:val="0"/>
          <w:color w:val="000000"/>
          <w:position w:val="0"/>
        </w:rPr>
        <w:t xml:space="preserve"> «Размеры унитаза в мм: </w:t>
      </w:r>
      <w:r>
        <w:rPr>
          <w:lang w:val="en-US" w:eastAsia="en-US" w:bidi="en-US"/>
          <w:w w:val="100"/>
          <w:spacing w:val="0"/>
          <w:color w:val="000000"/>
          <w:position w:val="0"/>
        </w:rPr>
        <w:t xml:space="preserve">h </w:t>
      </w:r>
      <w:r>
        <w:rPr>
          <w:lang w:val="ru-RU" w:eastAsia="ru-RU" w:bidi="ru-RU"/>
          <w:w w:val="100"/>
          <w:spacing w:val="0"/>
          <w:color w:val="000000"/>
          <w:position w:val="0"/>
        </w:rPr>
        <w:t>320/350».</w:t>
      </w:r>
    </w:p>
    <w:p>
      <w:pPr>
        <w:pStyle w:val="Style16"/>
        <w:widowControl w:val="0"/>
        <w:keepNext w:val="0"/>
        <w:keepLines w:val="0"/>
        <w:shd w:val="clear" w:color="auto" w:fill="auto"/>
        <w:bidi w:val="0"/>
        <w:spacing w:before="0" w:after="0" w:line="278" w:lineRule="exact"/>
        <w:ind w:left="20" w:right="20" w:firstLine="540"/>
      </w:pPr>
      <w:r>
        <w:rPr>
          <w:lang w:val="ru-RU" w:eastAsia="ru-RU" w:bidi="ru-RU"/>
          <w:w w:val="100"/>
          <w:spacing w:val="0"/>
          <w:color w:val="000000"/>
          <w:position w:val="0"/>
        </w:rPr>
        <w:t>В свою очередь, по данной номенклатурной позиции участником электронного аукциона подтверждено соответствие ГОСТ 30493-96, а также указана следующая информация:</w:t>
      </w:r>
    </w:p>
    <w:p>
      <w:pPr>
        <w:pStyle w:val="Style16"/>
        <w:numPr>
          <w:ilvl w:val="0"/>
          <w:numId w:val="7"/>
        </w:numPr>
        <w:widowControl w:val="0"/>
        <w:keepNext w:val="0"/>
        <w:keepLines w:val="0"/>
        <w:shd w:val="clear" w:color="auto" w:fill="auto"/>
        <w:bidi w:val="0"/>
        <w:spacing w:before="0" w:after="0" w:line="278" w:lineRule="exact"/>
        <w:ind w:left="20" w:right="0" w:firstLine="540"/>
      </w:pPr>
      <w:r>
        <w:rPr>
          <w:lang w:val="ru-RU" w:eastAsia="ru-RU" w:bidi="ru-RU"/>
          <w:w w:val="100"/>
          <w:spacing w:val="0"/>
          <w:color w:val="000000"/>
          <w:position w:val="0"/>
        </w:rPr>
        <w:t xml:space="preserve"> «Унитаз </w:t>
      </w:r>
      <w:r>
        <w:rPr>
          <w:rStyle w:val="CharStyle21"/>
        </w:rPr>
        <w:t>с цельноотлитой полочкой</w:t>
      </w:r>
      <w:r>
        <w:rPr>
          <w:lang w:val="ru-RU" w:eastAsia="ru-RU" w:bidi="ru-RU"/>
          <w:w w:val="100"/>
          <w:spacing w:val="0"/>
          <w:color w:val="000000"/>
          <w:position w:val="0"/>
        </w:rPr>
        <w:t xml:space="preserve"> с косым выпуском»;</w:t>
      </w:r>
    </w:p>
    <w:p>
      <w:pPr>
        <w:pStyle w:val="Style16"/>
        <w:numPr>
          <w:ilvl w:val="0"/>
          <w:numId w:val="7"/>
        </w:numPr>
        <w:widowControl w:val="0"/>
        <w:keepNext w:val="0"/>
        <w:keepLines w:val="0"/>
        <w:shd w:val="clear" w:color="auto" w:fill="auto"/>
        <w:bidi w:val="0"/>
        <w:spacing w:before="0" w:after="0" w:line="278" w:lineRule="exact"/>
        <w:ind w:left="20" w:right="0" w:firstLine="540"/>
      </w:pPr>
      <w:r>
        <w:rPr>
          <w:lang w:val="ru-RU" w:eastAsia="ru-RU" w:bidi="ru-RU"/>
          <w:w w:val="100"/>
          <w:spacing w:val="0"/>
          <w:color w:val="000000"/>
          <w:position w:val="0"/>
        </w:rPr>
        <w:t xml:space="preserve"> «Размеры унитаза в мм: </w:t>
      </w:r>
      <w:r>
        <w:rPr>
          <w:lang w:val="en-US" w:eastAsia="en-US" w:bidi="en-US"/>
          <w:w w:val="100"/>
          <w:spacing w:val="0"/>
          <w:color w:val="000000"/>
          <w:position w:val="0"/>
        </w:rPr>
        <w:t xml:space="preserve">h </w:t>
      </w:r>
      <w:r>
        <w:rPr>
          <w:lang w:val="ru-RU" w:eastAsia="ru-RU" w:bidi="ru-RU"/>
          <w:w w:val="100"/>
          <w:spacing w:val="0"/>
          <w:color w:val="000000"/>
          <w:position w:val="0"/>
        </w:rPr>
        <w:t>350» (цитата из заявки).</w:t>
      </w:r>
    </w:p>
    <w:p>
      <w:pPr>
        <w:pStyle w:val="Style16"/>
        <w:widowControl w:val="0"/>
        <w:keepNext w:val="0"/>
        <w:keepLines w:val="0"/>
        <w:shd w:val="clear" w:color="auto" w:fill="auto"/>
        <w:bidi w:val="0"/>
        <w:spacing w:before="0" w:after="0" w:line="278" w:lineRule="exact"/>
        <w:ind w:left="20" w:right="20" w:firstLine="540"/>
      </w:pPr>
      <w:r>
        <w:rPr>
          <w:lang w:val="ru-RU" w:eastAsia="ru-RU" w:bidi="ru-RU"/>
          <w:w w:val="100"/>
          <w:spacing w:val="0"/>
          <w:color w:val="000000"/>
          <w:position w:val="0"/>
        </w:rPr>
        <w:t xml:space="preserve">В соответствии с таблицей 3 ГОСТ 30493-96 «Изделия санитарные керамические. Типы и основные размеры (с Поправкой)» размер </w:t>
      </w:r>
      <w:r>
        <w:rPr>
          <w:lang w:val="en-US" w:eastAsia="en-US" w:bidi="en-US"/>
          <w:w w:val="100"/>
          <w:spacing w:val="0"/>
          <w:color w:val="000000"/>
          <w:position w:val="0"/>
        </w:rPr>
        <w:t xml:space="preserve">h </w:t>
      </w:r>
      <w:r>
        <w:rPr>
          <w:lang w:val="ru-RU" w:eastAsia="ru-RU" w:bidi="ru-RU"/>
          <w:w w:val="100"/>
          <w:spacing w:val="0"/>
          <w:color w:val="000000"/>
          <w:position w:val="0"/>
        </w:rPr>
        <w:t xml:space="preserve">установлен исключительно для унитаза </w:t>
      </w:r>
      <w:r>
        <w:rPr>
          <w:rStyle w:val="CharStyle21"/>
        </w:rPr>
        <w:t>без</w:t>
      </w:r>
      <w:r>
        <w:rPr>
          <w:lang w:val="ru-RU" w:eastAsia="ru-RU" w:bidi="ru-RU"/>
          <w:w w:val="100"/>
          <w:spacing w:val="0"/>
          <w:color w:val="000000"/>
          <w:position w:val="0"/>
        </w:rPr>
        <w:t xml:space="preserve"> </w:t>
      </w:r>
      <w:r>
        <w:rPr>
          <w:rStyle w:val="CharStyle21"/>
        </w:rPr>
        <w:t>цельнолитой полочки</w:t>
      </w:r>
      <w:r>
        <w:rPr>
          <w:lang w:val="ru-RU" w:eastAsia="ru-RU" w:bidi="ru-RU"/>
          <w:w w:val="100"/>
          <w:spacing w:val="0"/>
          <w:color w:val="000000"/>
          <w:position w:val="0"/>
        </w:rPr>
        <w:t>.</w:t>
      </w:r>
    </w:p>
    <w:p>
      <w:pPr>
        <w:pStyle w:val="Style16"/>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Таким образом, участником предложен товар, используемый при выполнении работ не соответствующий требованиям документации об электронном аукционе.</w:t>
      </w:r>
      <w:r>
        <w:rPr>
          <w:rStyle w:val="CharStyle28"/>
        </w:rPr>
        <w:t>. » (цитата письменных пояснений).</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На заседании Комиссия, изучив документацию об Аукционе, заявку с порядковым номером «10» (Заявитель), предоставленную представителем Уполномоченного органа, с учетом пояснений представителей Заказчика, Уполномоченного органа, приходит к выводу об обоснованности действий Единой комиссии Уполномоченного органа по признанию заявки Заявителя не соответствующей документации об Аукционе.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Учитывая изложенное, Комиссия приходит к выводу, что действия Единой комиссии Уполномоченного органа по рассмотрению заявки Заявителя не нарушают требования статей 66, 67 Закона о контрактной системе.</w:t>
      </w:r>
    </w:p>
    <w:p>
      <w:pPr>
        <w:pStyle w:val="Style7"/>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Таким образом, довод Заявителя не нашел своего подтверждения.</w:t>
      </w:r>
    </w:p>
    <w:p>
      <w:pPr>
        <w:pStyle w:val="Style7"/>
        <w:widowControl w:val="0"/>
        <w:keepNext w:val="0"/>
        <w:keepLines w:val="0"/>
        <w:shd w:val="clear" w:color="auto" w:fill="auto"/>
        <w:bidi w:val="0"/>
        <w:jc w:val="both"/>
        <w:spacing w:before="0" w:after="109" w:line="322" w:lineRule="exact"/>
        <w:ind w:left="0" w:right="0" w:firstLine="860"/>
      </w:pPr>
      <w:r>
        <w:rPr>
          <w:lang w:val="ru-RU" w:eastAsia="ru-RU" w:bidi="ru-RU"/>
          <w:w w:val="100"/>
          <w:spacing w:val="0"/>
          <w:color w:val="000000"/>
          <w:position w:val="0"/>
        </w:rPr>
        <w:t>На основании изложенного, руководствуясь частью 8 статьи 106 Закона о контрактной системе, Административным регламентом от 19.11.2014 №727/14, Комиссия</w:t>
      </w:r>
    </w:p>
    <w:p>
      <w:pPr>
        <w:pStyle w:val="Style7"/>
        <w:widowControl w:val="0"/>
        <w:keepNext w:val="0"/>
        <w:keepLines w:val="0"/>
        <w:shd w:val="clear" w:color="auto" w:fill="auto"/>
        <w:bidi w:val="0"/>
        <w:jc w:val="left"/>
        <w:spacing w:before="0" w:after="117" w:line="260" w:lineRule="exact"/>
        <w:ind w:left="4900" w:right="0" w:firstLine="0"/>
      </w:pPr>
      <w:r>
        <w:rPr>
          <w:lang w:val="ru-RU" w:eastAsia="ru-RU" w:bidi="ru-RU"/>
          <w:w w:val="100"/>
          <w:spacing w:val="0"/>
          <w:color w:val="000000"/>
          <w:position w:val="0"/>
        </w:rPr>
        <w:t>РЕШИЛА:</w:t>
      </w:r>
    </w:p>
    <w:p>
      <w:pPr>
        <w:pStyle w:val="Style7"/>
        <w:numPr>
          <w:ilvl w:val="0"/>
          <w:numId w:val="13"/>
        </w:numPr>
        <w:widowControl w:val="0"/>
        <w:keepNext w:val="0"/>
        <w:keepLines w:val="0"/>
        <w:shd w:val="clear" w:color="auto" w:fill="auto"/>
        <w:bidi w:val="0"/>
        <w:jc w:val="both"/>
        <w:spacing w:before="0" w:after="68" w:line="260" w:lineRule="exact"/>
        <w:ind w:left="0" w:right="0" w:firstLine="860"/>
      </w:pPr>
      <w:r>
        <w:rPr>
          <w:lang w:val="ru-RU" w:eastAsia="ru-RU" w:bidi="ru-RU"/>
          <w:w w:val="100"/>
          <w:spacing w:val="0"/>
          <w:color w:val="000000"/>
          <w:position w:val="0"/>
        </w:rPr>
        <w:t xml:space="preserve"> Признать жалобу Заявителя необоснованной.</w:t>
      </w:r>
    </w:p>
    <w:p>
      <w:pPr>
        <w:pStyle w:val="Style7"/>
        <w:numPr>
          <w:ilvl w:val="0"/>
          <w:numId w:val="13"/>
        </w:numPr>
        <w:widowControl w:val="0"/>
        <w:keepNext w:val="0"/>
        <w:keepLines w:val="0"/>
        <w:shd w:val="clear" w:color="auto" w:fill="auto"/>
        <w:bidi w:val="0"/>
        <w:jc w:val="both"/>
        <w:spacing w:before="0" w:after="64" w:line="322" w:lineRule="exact"/>
        <w:ind w:left="0" w:right="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07.11.2017 №06/12681.</w:t>
      </w:r>
    </w:p>
    <w:p>
      <w:pPr>
        <w:pStyle w:val="Style7"/>
        <w:widowControl w:val="0"/>
        <w:keepNext w:val="0"/>
        <w:keepLines w:val="0"/>
        <w:shd w:val="clear" w:color="auto" w:fill="auto"/>
        <w:bidi w:val="0"/>
        <w:jc w:val="both"/>
        <w:spacing w:before="0" w:after="39" w:line="317" w:lineRule="exact"/>
        <w:ind w:left="0" w:right="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tabs>
          <w:tab w:leader="none" w:pos="8059" w:val="right"/>
          <w:tab w:leader="none" w:pos="8395" w:val="right"/>
          <w:tab w:leader="none" w:pos="9656"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Председатель Комиссии</w:t>
        <w:tab/>
        <w:t>М.</w:t>
        <w:tab/>
        <w:t>С.</w:t>
        <w:tab/>
        <w:t>Муравьёв</w:t>
      </w:r>
    </w:p>
    <w:p>
      <w:pPr>
        <w:pStyle w:val="Style7"/>
        <w:tabs>
          <w:tab w:leader="none" w:pos="9656" w:val="right"/>
          <w:tab w:leader="none" w:pos="8381" w:val="right"/>
          <w:tab w:leader="none" w:pos="9533"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tabs>
          <w:tab w:leader="none" w:pos="9656" w:val="right"/>
          <w:tab w:leader="none" w:pos="8386" w:val="right"/>
          <w:tab w:leader="none" w:pos="9763"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Член Комиссии:</w:t>
        <w:tab/>
        <w:t>О.</w:t>
        <w:tab/>
        <w:t>А.</w:t>
        <w:tab/>
        <w:t>Шалимова</w:t>
      </w:r>
    </w:p>
    <w:sectPr>
      <w:type w:val="continuous"/>
      <w:pgSz w:w="11906" w:h="16838"/>
      <w:pgMar w:top="1405" w:left="678" w:right="678" w:bottom="906" w:header="0" w:footer="3" w:gutter="91"/>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13.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10.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upperRoman"/>
      <w:lvlText w:val="%1."/>
      <w:rPr>
        <w:lang w:val="en-US" w:eastAsia="en-US" w:bidi="en-US"/>
        <w:b/>
        <w:bCs/>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2"/>
      <w:szCs w:val="22"/>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5"/>
      <w:szCs w:val="15"/>
      <w:rFonts w:ascii="Times New Roman" w:eastAsia="Times New Roman" w:hAnsi="Times New Roman" w:cs="Times New Roman"/>
    </w:rPr>
  </w:style>
  <w:style w:type="character" w:customStyle="1" w:styleId="CharStyle8">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0">
    <w:name w:val="Основной текст (6) Exact"/>
    <w:basedOn w:val="DefaultParagraphFont"/>
    <w:rPr>
      <w:b w:val="0"/>
      <w:bCs w:val="0"/>
      <w:i w:val="0"/>
      <w:iCs w:val="0"/>
      <w:u w:val="none"/>
      <w:strike w:val="0"/>
      <w:smallCaps w:val="0"/>
      <w:sz w:val="20"/>
      <w:szCs w:val="20"/>
      <w:rFonts w:ascii="Times New Roman" w:eastAsia="Times New Roman" w:hAnsi="Times New Roman" w:cs="Times New Roman"/>
    </w:rPr>
  </w:style>
  <w:style w:type="character" w:customStyle="1" w:styleId="CharStyle12">
    <w:name w:val="Основной текст (4)_"/>
    <w:basedOn w:val="DefaultParagraphFont"/>
    <w:link w:val="Style11"/>
    <w:rPr>
      <w:b/>
      <w:bCs/>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w:basedOn w:val="CharStyle8"/>
    <w:rPr>
      <w:lang w:val="ru-RU" w:eastAsia="ru-RU" w:bidi="ru-RU"/>
      <w:u w:val="single"/>
      <w:w w:val="100"/>
      <w:spacing w:val="0"/>
      <w:color w:val="000000"/>
      <w:position w:val="0"/>
    </w:rPr>
  </w:style>
  <w:style w:type="character" w:customStyle="1" w:styleId="CharStyle14">
    <w:name w:val="Основной текст (2)"/>
    <w:basedOn w:val="CharStyle4"/>
    <w:rPr>
      <w:lang w:val="ru-RU" w:eastAsia="ru-RU" w:bidi="ru-RU"/>
      <w:u w:val="single"/>
      <w:w w:val="100"/>
      <w:spacing w:val="0"/>
      <w:color w:val="000000"/>
      <w:position w:val="0"/>
    </w:rPr>
  </w:style>
  <w:style w:type="character" w:customStyle="1" w:styleId="CharStyle15">
    <w:name w:val="Основной текст (2) + Не полужирный"/>
    <w:basedOn w:val="CharStyle4"/>
    <w:rPr>
      <w:lang w:val="ru-RU" w:eastAsia="ru-RU" w:bidi="ru-RU"/>
      <w:b/>
      <w:bCs/>
      <w:w w:val="100"/>
      <w:spacing w:val="0"/>
      <w:color w:val="000000"/>
      <w:position w:val="0"/>
    </w:rPr>
  </w:style>
  <w:style w:type="character" w:customStyle="1" w:styleId="CharStyle17">
    <w:name w:val="Основной текст (5)_"/>
    <w:basedOn w:val="DefaultParagraphFont"/>
    <w:link w:val="Style16"/>
    <w:rPr>
      <w:b w:val="0"/>
      <w:bCs w:val="0"/>
      <w:i w:val="0"/>
      <w:iCs w:val="0"/>
      <w:u w:val="none"/>
      <w:strike w:val="0"/>
      <w:smallCaps w:val="0"/>
      <w:sz w:val="22"/>
      <w:szCs w:val="22"/>
      <w:rFonts w:ascii="Times New Roman" w:eastAsia="Times New Roman" w:hAnsi="Times New Roman" w:cs="Times New Roman"/>
    </w:rPr>
  </w:style>
  <w:style w:type="character" w:customStyle="1" w:styleId="CharStyle18">
    <w:name w:val="Основной текст (5) + Полужирный"/>
    <w:basedOn w:val="CharStyle17"/>
    <w:rPr>
      <w:lang w:val="ru-RU" w:eastAsia="ru-RU" w:bidi="ru-RU"/>
      <w:b/>
      <w:bCs/>
      <w:w w:val="100"/>
      <w:spacing w:val="0"/>
      <w:color w:val="000000"/>
      <w:position w:val="0"/>
    </w:rPr>
  </w:style>
  <w:style w:type="character" w:customStyle="1" w:styleId="CharStyle19">
    <w:name w:val="Основной текст (5) + 13 pt"/>
    <w:basedOn w:val="CharStyle17"/>
    <w:rPr>
      <w:lang w:val="ru-RU" w:eastAsia="ru-RU" w:bidi="ru-RU"/>
      <w:u w:val="single"/>
      <w:sz w:val="26"/>
      <w:szCs w:val="26"/>
      <w:w w:val="100"/>
      <w:spacing w:val="0"/>
      <w:color w:val="000000"/>
      <w:position w:val="0"/>
    </w:rPr>
  </w:style>
  <w:style w:type="character" w:customStyle="1" w:styleId="CharStyle20">
    <w:name w:val="Основной текст (5) + 13 pt"/>
    <w:basedOn w:val="CharStyle17"/>
    <w:rPr>
      <w:lang w:val="ru-RU" w:eastAsia="ru-RU" w:bidi="ru-RU"/>
      <w:sz w:val="26"/>
      <w:szCs w:val="26"/>
      <w:w w:val="100"/>
      <w:spacing w:val="0"/>
      <w:color w:val="000000"/>
      <w:position w:val="0"/>
    </w:rPr>
  </w:style>
  <w:style w:type="character" w:customStyle="1" w:styleId="CharStyle21">
    <w:name w:val="Основной текст (5)"/>
    <w:basedOn w:val="CharStyle17"/>
    <w:rPr>
      <w:lang w:val="ru-RU" w:eastAsia="ru-RU" w:bidi="ru-RU"/>
      <w:u w:val="single"/>
      <w:w w:val="100"/>
      <w:spacing w:val="0"/>
      <w:color w:val="000000"/>
      <w:position w:val="0"/>
    </w:rPr>
  </w:style>
  <w:style w:type="character" w:customStyle="1" w:styleId="CharStyle22">
    <w:name w:val="Основной текст (5) + Полужирный"/>
    <w:basedOn w:val="CharStyle17"/>
    <w:rPr>
      <w:lang w:val="ru-RU" w:eastAsia="ru-RU" w:bidi="ru-RU"/>
      <w:b/>
      <w:bCs/>
      <w:u w:val="single"/>
      <w:w w:val="100"/>
      <w:spacing w:val="0"/>
      <w:color w:val="000000"/>
      <w:position w:val="0"/>
    </w:rPr>
  </w:style>
  <w:style w:type="character" w:customStyle="1" w:styleId="CharStyle23">
    <w:name w:val="Основной текст + 11 pt"/>
    <w:basedOn w:val="CharStyle8"/>
    <w:rPr>
      <w:lang w:val="ru-RU" w:eastAsia="ru-RU" w:bidi="ru-RU"/>
      <w:sz w:val="22"/>
      <w:szCs w:val="22"/>
      <w:w w:val="100"/>
      <w:spacing w:val="0"/>
      <w:color w:val="000000"/>
      <w:position w:val="0"/>
    </w:rPr>
  </w:style>
  <w:style w:type="character" w:customStyle="1" w:styleId="CharStyle24">
    <w:name w:val="Основной текст (6)_"/>
    <w:basedOn w:val="DefaultParagraphFont"/>
    <w:link w:val="Style9"/>
    <w:rPr>
      <w:b w:val="0"/>
      <w:bCs w:val="0"/>
      <w:i w:val="0"/>
      <w:iCs w:val="0"/>
      <w:u w:val="none"/>
      <w:strike w:val="0"/>
      <w:smallCaps w:val="0"/>
      <w:sz w:val="21"/>
      <w:szCs w:val="21"/>
      <w:rFonts w:ascii="Times New Roman" w:eastAsia="Times New Roman" w:hAnsi="Times New Roman" w:cs="Times New Roman"/>
    </w:rPr>
  </w:style>
  <w:style w:type="character" w:customStyle="1" w:styleId="CharStyle25">
    <w:name w:val="Основной текст + 9 pt,Полужирный,Курсив"/>
    <w:basedOn w:val="CharStyle8"/>
    <w:rPr>
      <w:lang w:val="ru-RU" w:eastAsia="ru-RU" w:bidi="ru-RU"/>
      <w:b/>
      <w:bCs/>
      <w:i/>
      <w:iCs/>
      <w:sz w:val="18"/>
      <w:szCs w:val="18"/>
      <w:w w:val="100"/>
      <w:spacing w:val="0"/>
      <w:color w:val="000000"/>
      <w:position w:val="0"/>
    </w:rPr>
  </w:style>
  <w:style w:type="character" w:customStyle="1" w:styleId="CharStyle27">
    <w:name w:val="Подпись к таблице_"/>
    <w:basedOn w:val="DefaultParagraphFont"/>
    <w:link w:val="Style26"/>
    <w:rPr>
      <w:b w:val="0"/>
      <w:bCs w:val="0"/>
      <w:i w:val="0"/>
      <w:iCs w:val="0"/>
      <w:u w:val="none"/>
      <w:strike w:val="0"/>
      <w:smallCaps w:val="0"/>
      <w:sz w:val="21"/>
      <w:szCs w:val="21"/>
      <w:rFonts w:ascii="Times New Roman" w:eastAsia="Times New Roman" w:hAnsi="Times New Roman" w:cs="Times New Roman"/>
    </w:rPr>
  </w:style>
  <w:style w:type="character" w:customStyle="1" w:styleId="CharStyle28">
    <w:name w:val="Основной текст (5) + 13 pt"/>
    <w:basedOn w:val="CharStyle17"/>
    <w:rPr>
      <w:lang w:val="ru-RU" w:eastAsia="ru-RU" w:bidi="ru-RU"/>
      <w:sz w:val="26"/>
      <w:szCs w:val="26"/>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360" w:line="274" w:lineRule="exact"/>
    </w:pPr>
    <w:rPr>
      <w:b/>
      <w:bCs/>
      <w:i w:val="0"/>
      <w:iCs w:val="0"/>
      <w:u w:val="none"/>
      <w:strike w:val="0"/>
      <w:smallCaps w:val="0"/>
      <w:sz w:val="22"/>
      <w:szCs w:val="22"/>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after="300" w:line="18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7">
    <w:name w:val="Основной текст"/>
    <w:basedOn w:val="Normal"/>
    <w:link w:val="CharStyle8"/>
    <w:pPr>
      <w:widowControl w:val="0"/>
      <w:shd w:val="clear" w:color="auto" w:fill="FFFFFF"/>
      <w:spacing w:before="300" w:line="56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9">
    <w:name w:val="Основной текст (6)"/>
    <w:basedOn w:val="Normal"/>
    <w:link w:val="CharStyle24"/>
    <w:pPr>
      <w:widowControl w:val="0"/>
      <w:shd w:val="clear" w:color="auto" w:fill="FFFFFF"/>
      <w:jc w:val="both"/>
      <w:spacing w:after="300" w:line="250"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11">
    <w:name w:val="Основной текст (4)"/>
    <w:basedOn w:val="Normal"/>
    <w:link w:val="CharStyle12"/>
    <w:pPr>
      <w:widowControl w:val="0"/>
      <w:shd w:val="clear" w:color="auto" w:fill="FFFFFF"/>
      <w:jc w:val="center"/>
      <w:spacing w:before="300" w:after="180" w:line="341" w:lineRule="exact"/>
    </w:pPr>
    <w:rPr>
      <w:b/>
      <w:bCs/>
      <w:i w:val="0"/>
      <w:iCs w:val="0"/>
      <w:u w:val="none"/>
      <w:strike w:val="0"/>
      <w:smallCaps w:val="0"/>
      <w:sz w:val="26"/>
      <w:szCs w:val="26"/>
      <w:rFonts w:ascii="Times New Roman" w:eastAsia="Times New Roman" w:hAnsi="Times New Roman" w:cs="Times New Roman"/>
    </w:rPr>
  </w:style>
  <w:style w:type="paragraph" w:customStyle="1" w:styleId="Style16">
    <w:name w:val="Основной текст (5)"/>
    <w:basedOn w:val="Normal"/>
    <w:link w:val="CharStyle17"/>
    <w:pPr>
      <w:widowControl w:val="0"/>
      <w:shd w:val="clear" w:color="auto" w:fill="FFFFFF"/>
      <w:jc w:val="both"/>
      <w:spacing w:before="60" w:line="302"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26">
    <w:name w:val="Подпись к таблице"/>
    <w:basedOn w:val="Normal"/>
    <w:link w:val="CharStyle27"/>
    <w:pPr>
      <w:widowControl w:val="0"/>
      <w:shd w:val="clear" w:color="auto" w:fill="FFFFFF"/>
      <w:jc w:val="both"/>
      <w:spacing w:line="250" w:lineRule="exact"/>
    </w:pPr>
    <w:rPr>
      <w:b w:val="0"/>
      <w:bCs w:val="0"/>
      <w:i w:val="0"/>
      <w:iCs w:val="0"/>
      <w:u w:val="none"/>
      <w:strike w:val="0"/>
      <w:smallCaps w:val="0"/>
      <w:sz w:val="21"/>
      <w:szCs w:val="21"/>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